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rPr>
          <w:rFonts w:ascii="Arial" w:cs="Arial" w:eastAsia="Arial" w:hAnsi="Arial"/>
          <w:b/>
          <w:bCs/>
          <w:color w:val="1B2A4A"/>
          <w:sz w:val="64"/>
          <w:szCs w:val="64"/>
        </w:rPr>
        <w:t xml:space="preserve">THE WATCHTOWER PROJECT</w:t>
      </w:r>
    </w:p>
    <w:p>
      <w:pPr>
        <w:spacing w:after="200"/>
        <w:jc w:val="center"/>
      </w:pPr>
      <w:r>
        <w:rPr>
          <w:rFonts w:ascii="Arial" w:cs="Arial" w:eastAsia="Arial" w:hAnsi="Arial"/>
          <w:color w:val="B8860B"/>
          <w:sz w:val="36"/>
          <w:szCs w:val="36"/>
        </w:rPr>
        <w:t xml:space="preserve">Addendum Report: Comparative Reform Analysis</w:t>
      </w:r>
    </w:p>
    <w:p>
      <w:pPr>
        <w:spacing w:after="80"/>
        <w:jc w:val="center"/>
      </w:pPr>
      <w:r>
        <w:rPr>
          <w:rFonts w:ascii="Arial" w:cs="Arial" w:eastAsia="Arial" w:hAnsi="Arial"/>
          <w:b/>
          <w:bCs/>
          <w:color w:val="1B2A4A"/>
          <w:sz w:val="28"/>
          <w:szCs w:val="28"/>
        </w:rPr>
        <w:t xml:space="preserve">Bakersfield Police Department vs. Kern County Sheriff’s Office</w:t>
      </w:r>
    </w:p>
    <w:p>
      <w:pPr>
        <w:spacing w:after="80"/>
        <w:jc w:val="center"/>
      </w:pPr>
      <w:r>
        <w:rPr>
          <w:rFonts w:ascii="Arial" w:cs="Arial" w:eastAsia="Arial" w:hAnsi="Arial"/>
          <w:color w:val="555555"/>
          <w:sz w:val="24"/>
          <w:szCs w:val="24"/>
        </w:rPr>
        <w:t xml:space="preserve">Two Agencies. Same City. Same Mandate. Opposite Results.</w:t>
      </w:r>
    </w:p>
    <w:p>
      <w:pPr>
        <w:spacing w:after="1200"/>
        <w:jc w:val="center"/>
      </w:pPr>
      <w:r>
        <w:rPr>
          <w:rFonts w:ascii="Arial" w:cs="Arial" w:eastAsia="Arial" w:hAnsi="Arial"/>
          <w:color w:val="888888"/>
          <w:sz w:val="22"/>
          <w:szCs w:val="22"/>
        </w:rPr>
        <w:t xml:space="preserve">May 2026  |  Prepared by Joseph “Tater” Nipper</w:t>
      </w:r>
    </w:p>
    <w:p>
      <w:pPr>
        <w:jc w:val="center"/>
      </w:pPr>
      <w:r>
        <w:rPr>
          <w:rFonts w:ascii="Arial" w:cs="Arial" w:eastAsia="Arial" w:hAnsi="Arial"/>
          <w:b/>
          <w:bCs/>
          <w:color w:val="B8860B"/>
          <w:sz w:val="26"/>
          <w:szCs w:val="26"/>
        </w:rPr>
        <w:t xml:space="preserve">“You Are Not Invisible. You Are the Signal.”</w:t>
      </w:r>
    </w:p>
    <w:p>
      <w:r>
        <w:br w:type="page"/>
      </w:r>
    </w:p>
    <w:p>
      <w:pPr>
        <w:pStyle w:val="Heading1"/>
      </w:pPr>
      <w:r>
        <w:rPr>
          <w:rFonts w:ascii="Arial" w:cs="Arial" w:eastAsia="Arial" w:hAnsi="Arial"/>
        </w:rPr>
        <w:t xml:space="preserve">I. Introduction: The Same Mandate, Two Different Choices</w:t>
      </w:r>
    </w:p>
    <w:p>
      <w:pPr>
        <w:spacing w:after="140"/>
      </w:pPr>
      <w:r>
        <w:rPr>
          <w:rFonts w:ascii="Arial" w:cs="Arial" w:eastAsia="Arial" w:hAnsi="Arial"/>
          <w:b w:val="false"/>
          <w:bCs w:val="false"/>
          <w:color w:val="1A1A1A"/>
          <w:sz w:val="22"/>
          <w:szCs w:val="22"/>
        </w:rPr>
        <w:t xml:space="preserve">In the same geographic region of California’s Central Valley, two law enforcement agencies share a community, share a history of documented civil rights violations, and share identical reform mandates issued by the same California Department of Justice. The Kern County Sheriff’s Office (KCSO) and the Bakersfield Police Department (BPD) both signed DOJ Stipulated Judgments requiring sweeping changes to their use of force, accountability, canine, and community engagement practices.</w:t>
      </w:r>
    </w:p>
    <w:p>
      <w:pPr>
        <w:spacing w:after="140"/>
      </w:pPr>
      <w:r>
        <w:rPr>
          <w:rFonts w:ascii="Arial" w:cs="Arial" w:eastAsia="Arial" w:hAnsi="Arial"/>
          <w:b w:val="false"/>
          <w:bCs w:val="false"/>
          <w:color w:val="1A1A1A"/>
          <w:sz w:val="22"/>
          <w:szCs w:val="22"/>
        </w:rPr>
        <w:t xml:space="preserve">Five years into those reform agreements, the outcomes are starkly different. BPD has achieved full and effective compliance in five of its mandated reform areas, is moving into training implementation, has not been issued an extension, and has not been killed by a DOJ oversight lapse in eight days. KCSO has achieved full compliance in the areas requiring least behavioral change, has been granted a two-year extension, and killed three people in eight days immediately following that extension.</w:t>
      </w:r>
    </w:p>
    <w:p>
      <w:pPr>
        <w:spacing w:after="140"/>
      </w:pPr>
      <w:r>
        <w:rPr>
          <w:rFonts w:ascii="Arial" w:cs="Arial" w:eastAsia="Arial" w:hAnsi="Arial"/>
          <w:b w:val="false"/>
          <w:bCs w:val="false"/>
          <w:color w:val="1A1A1A"/>
          <w:sz w:val="22"/>
          <w:szCs w:val="22"/>
        </w:rPr>
        <w:t xml:space="preserve">This addendum to the Watchtower Project’s comprehensive KCSO report examines the structural, leadership, and cultural factors that explain how two agencies given the same task produced opposite results. The conclusion is not favorable to KCSO — and the evidence is damning precisely because KCSO cannot claim the reforms are impossible. BPD is proving they are possible, right next door.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4"/>
              <w:left w:val="thick" w:color="1A5C2E" w:sz="16"/>
              <w:bottom w:val="single" w:color="1A5C2E" w:sz="4"/>
              <w:right w:val="single" w:color="F2F4F7" w:sz="1"/>
            </w:tcBorders>
            <w:shd w:fill="EAF4EE" w:val="clear"/>
            <w:tcMar>
              <w:top w:type="dxa" w:w="120"/>
              <w:left w:type="dxa" w:w="200"/>
              <w:bottom w:type="dxa" w:w="120"/>
              <w:right w:type="dxa" w:w="120"/>
            </w:tcMar>
          </w:tcPr>
          <w:p>
            <w:r>
              <w:rPr>
                <w:rFonts w:ascii="Arial" w:cs="Arial" w:eastAsia="Arial" w:hAnsi="Arial"/>
                <w:b/>
                <w:bCs/>
                <w:color w:val="1A5C2E"/>
                <w:sz w:val="18"/>
                <w:szCs w:val="18"/>
              </w:rPr>
              <w:t xml:space="preserve">CORE QUESTION</w:t>
            </w:r>
          </w:p>
          <w:p>
            <w:pPr>
              <w:spacing w:after="0"/>
            </w:pPr>
            <w:r>
              <w:rPr>
                <w:rFonts w:ascii="Arial" w:cs="Arial" w:eastAsia="Arial" w:hAnsi="Arial"/>
                <w:color w:val="1A1A1A"/>
                <w:sz w:val="22"/>
                <w:szCs w:val="22"/>
              </w:rPr>
              <w:t xml:space="preserve">If BPD — same city, same legal framework, same DOJ oversight structure — can make measurable, documented progress toward constitutional policing, what does KCSO’s five-year failure actually tell us? It tells us the problem is not the reform requirements. The problem is institutional will.</w:t>
            </w:r>
          </w:p>
        </w:tc>
      </w:tr>
    </w:tbl>
    <w:p>
      <w:r>
        <w:br w:type="page"/>
      </w:r>
    </w:p>
    <w:p>
      <w:pPr>
        <w:pStyle w:val="Heading1"/>
      </w:pPr>
      <w:r>
        <w:rPr>
          <w:rFonts w:ascii="Arial" w:cs="Arial" w:eastAsia="Arial" w:hAnsi="Arial"/>
        </w:rPr>
        <w:t xml:space="preserve">II. Origins: Two Investigations, Materially Identical Judgments</w:t>
      </w:r>
    </w:p>
    <w:p>
      <w:pPr>
        <w:pStyle w:val="Heading2"/>
      </w:pPr>
      <w:r>
        <w:rPr>
          <w:rFonts w:ascii="Arial" w:cs="Arial" w:eastAsia="Arial" w:hAnsi="Arial"/>
        </w:rPr>
        <w:t xml:space="preserve">2.1 The Shared History</w:t>
      </w:r>
    </w:p>
    <w:p>
      <w:pPr>
        <w:spacing w:after="140"/>
      </w:pPr>
      <w:r>
        <w:rPr>
          <w:rFonts w:ascii="Arial" w:cs="Arial" w:eastAsia="Arial" w:hAnsi="Arial"/>
          <w:b w:val="false"/>
          <w:bCs w:val="false"/>
          <w:color w:val="1A1A1A"/>
          <w:sz w:val="22"/>
          <w:szCs w:val="22"/>
        </w:rPr>
        <w:t xml:space="preserve">Both investigations were launched by the California DOJ under then-AG Kamala Harris in 2016 following community complaints and media investigations into excessive force and civil rights violations. Both agencies were investigated under the same legal framework and found to have patterns or practices of unconstitutional conduct. Both signed Stipulated Judgments with the DOJ that were, according to community observers, “materially nearly identical with each other’s with respect to problems addressed and improvements to be made.”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D0D4DC" w:sz="1"/>
              <w:left w:val="single" w:color="D0D4DC" w:sz="1"/>
              <w:bottom w:val="single" w:color="D0D4DC" w:sz="1"/>
              <w:right w:val="single" w:color="D0D4D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Element</w:t>
            </w:r>
          </w:p>
        </w:tc>
        <w:tc>
          <w:tcPr>
            <w:tcW w:type="dxa" w:w="3600"/>
            <w:tcBorders>
              <w:top w:val="single" w:color="D0D4DC" w:sz="1"/>
              <w:left w:val="single" w:color="D0D4DC" w:sz="1"/>
              <w:bottom w:val="single" w:color="D0D4DC" w:sz="1"/>
              <w:right w:val="single" w:color="D0D4D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KCSO</w:t>
            </w:r>
          </w:p>
        </w:tc>
        <w:tc>
          <w:tcPr>
            <w:tcW w:type="dxa" w:w="3600"/>
            <w:tcBorders>
              <w:top w:val="single" w:color="D0D4DC" w:sz="1"/>
              <w:left w:val="single" w:color="D0D4DC" w:sz="1"/>
              <w:bottom w:val="single" w:color="D0D4DC" w:sz="1"/>
              <w:right w:val="single" w:color="D0D4D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BPD</w:t>
            </w:r>
          </w:p>
        </w:tc>
      </w:tr>
      <w:tr>
        <w:tc>
          <w:tcPr>
            <w:tcW w:type="dxa" w:w="216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DOJ investigation opened</w:t>
            </w:r>
          </w:p>
        </w:tc>
        <w:tc>
          <w:tcPr>
            <w:tcW w:type="dxa" w:w="360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2016 (AG Kamala Harris)</w:t>
            </w:r>
          </w:p>
        </w:tc>
        <w:tc>
          <w:tcPr>
            <w:tcW w:type="dxa" w:w="360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2016 (AG Kamala Harris)</w:t>
            </w:r>
          </w:p>
        </w:tc>
      </w:tr>
      <w:tr>
        <w:tc>
          <w:tcPr>
            <w:tcW w:type="dxa" w:w="216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Triggering catalyst</w:t>
            </w:r>
          </w:p>
        </w:tc>
        <w:tc>
          <w:tcPr>
            <w:tcW w:type="dxa" w:w="360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Highest per-capita police killings in U.S. (The Guardian, 2015); 79 deaths 2005–2015</w:t>
            </w:r>
          </w:p>
        </w:tc>
        <w:tc>
          <w:tcPr>
            <w:tcW w:type="dxa" w:w="360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Community complaints + media reports; death of Francisco Serna (73-year-old with dementia shot in 2016)</w:t>
            </w:r>
          </w:p>
        </w:tc>
      </w:tr>
      <w:tr>
        <w:tc>
          <w:tcPr>
            <w:tcW w:type="dxa" w:w="216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Stipulated Judgment signed</w:t>
            </w:r>
          </w:p>
        </w:tc>
        <w:tc>
          <w:tcPr>
            <w:tcW w:type="dxa" w:w="3600"/>
            <w:tcBorders>
              <w:top w:val="single" w:color="D0D4DC" w:sz="1"/>
              <w:left w:val="single" w:color="D0D4DC" w:sz="1"/>
              <w:bottom w:val="single" w:color="D0D4DC" w:sz="1"/>
              <w:right w:val="single" w:color="D0D4D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5C2E"/>
                <w:sz w:val="20"/>
                <w:szCs w:val="20"/>
              </w:rPr>
              <w:t xml:space="preserve">December 2020</w:t>
            </w:r>
          </w:p>
        </w:tc>
        <w:tc>
          <w:tcPr>
            <w:tcW w:type="dxa" w:w="3600"/>
            <w:tcBorders>
              <w:top w:val="single" w:color="D0D4DC" w:sz="1"/>
              <w:left w:val="single" w:color="D0D4DC" w:sz="1"/>
              <w:bottom w:val="single" w:color="D0D4DC" w:sz="1"/>
              <w:right w:val="single" w:color="D0D4D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5C2E"/>
                <w:sz w:val="20"/>
                <w:szCs w:val="20"/>
              </w:rPr>
              <w:t xml:space="preserve">August 2021 (8 months later)</w:t>
            </w:r>
          </w:p>
        </w:tc>
      </w:tr>
      <w:tr>
        <w:tc>
          <w:tcPr>
            <w:tcW w:type="dxa" w:w="216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Core reform areas required</w:t>
            </w:r>
          </w:p>
        </w:tc>
        <w:tc>
          <w:tcPr>
            <w:tcW w:type="dxa" w:w="360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8 areas: use of force, canine, stops/searches/seizures, behavioral health, personnel complaints, supervisory oversight, community engagement, language access</w:t>
            </w:r>
          </w:p>
        </w:tc>
        <w:tc>
          <w:tcPr>
            <w:tcW w:type="dxa" w:w="360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Equivalent areas: use of force, stops/searches/seizures, canine, personnel complaints, community engagement, supervisory oversight, recruitment, bias-free policing</w:t>
            </w:r>
          </w:p>
        </w:tc>
      </w:tr>
      <w:tr>
        <w:tc>
          <w:tcPr>
            <w:tcW w:type="dxa" w:w="216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Independent monitor assigned</w:t>
            </w:r>
          </w:p>
        </w:tc>
        <w:tc>
          <w:tcPr>
            <w:tcW w:type="dxa" w:w="360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Yes — Evident Change / KCSO Monitoring Team</w:t>
            </w:r>
          </w:p>
        </w:tc>
        <w:tc>
          <w:tcPr>
            <w:tcW w:type="dxa" w:w="360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Yes — Bakersfield Monitoring Team (bakersfieldmonitor.com)</w:t>
            </w:r>
          </w:p>
        </w:tc>
      </w:tr>
      <w:tr>
        <w:tc>
          <w:tcPr>
            <w:tcW w:type="dxa" w:w="216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Community advisory body required</w:t>
            </w:r>
          </w:p>
        </w:tc>
        <w:tc>
          <w:tcPr>
            <w:tcW w:type="dxa" w:w="360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Yes — Community Advisory Council (CAC)</w:t>
            </w:r>
          </w:p>
        </w:tc>
        <w:tc>
          <w:tcPr>
            <w:tcW w:type="dxa" w:w="360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Yes — Community Advisory Panel (CAP)</w:t>
            </w:r>
          </w:p>
        </w:tc>
      </w:tr>
      <w:tr>
        <w:tc>
          <w:tcPr>
            <w:tcW w:type="dxa" w:w="216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Both agencies’ initial posture</w:t>
            </w:r>
          </w:p>
        </w:tc>
        <w:tc>
          <w:tcPr>
            <w:tcW w:type="dxa" w:w="360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Denied civil rights violations; agreed to comply</w:t>
            </w:r>
          </w:p>
        </w:tc>
        <w:tc>
          <w:tcPr>
            <w:tcW w:type="dxa" w:w="360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Denied findings; agreed to find a “path forward”</w:t>
            </w:r>
          </w:p>
        </w:tc>
      </w:tr>
    </w:tbl>
    <w:p>
      <w:pPr>
        <w:spacing w:after="80"/>
      </w:pPr>
    </w:p>
    <w:p>
      <w:pPr>
        <w:spacing w:after="140"/>
      </w:pPr>
      <w:r>
        <w:rPr>
          <w:rFonts w:ascii="Arial" w:cs="Arial" w:eastAsia="Arial" w:hAnsi="Arial"/>
          <w:b w:val="false"/>
          <w:bCs w:val="false"/>
          <w:color w:val="1A1A1A"/>
          <w:sz w:val="22"/>
          <w:szCs w:val="22"/>
        </w:rPr>
        <w:t xml:space="preserve">The starting conditions were nearly identical. The outcomes were not.</w:t>
      </w:r>
    </w:p>
    <w:p>
      <w:r>
        <w:br w:type="page"/>
      </w:r>
    </w:p>
    <w:p>
      <w:pPr>
        <w:pStyle w:val="Heading1"/>
      </w:pPr>
      <w:r>
        <w:rPr>
          <w:rFonts w:ascii="Arial" w:cs="Arial" w:eastAsia="Arial" w:hAnsi="Arial"/>
        </w:rPr>
        <w:t xml:space="preserve">III. Reform Compliance: Where Each Agency Stands in 2026</w:t>
      </w:r>
    </w:p>
    <w:p>
      <w:pPr>
        <w:pStyle w:val="Heading2"/>
      </w:pPr>
      <w:r>
        <w:rPr>
          <w:rFonts w:ascii="Arial" w:cs="Arial" w:eastAsia="Arial" w:hAnsi="Arial"/>
        </w:rPr>
        <w:t xml:space="preserve">3.1 KCSO: Five Years, Five Failures, One Extension</w:t>
      </w:r>
    </w:p>
    <w:p>
      <w:pPr>
        <w:spacing w:after="140"/>
      </w:pPr>
      <w:r>
        <w:rPr>
          <w:rFonts w:ascii="Arial" w:cs="Arial" w:eastAsia="Arial" w:hAnsi="Arial"/>
          <w:b w:val="false"/>
          <w:bCs w:val="false"/>
          <w:color w:val="1A1A1A"/>
          <w:sz w:val="22"/>
          <w:szCs w:val="22"/>
        </w:rPr>
        <w:t xml:space="preserve">As of March 2026, after five full years under its Stipulated Judgment, KCSO remains non-compliant or only in partial compliance in five of eight mandated reform areas. The DOJ was granted a two-year extension over KCSO’s objection. The areas of persistent failure are precisely the ones that require behavioral change by deputies and supervision — not paperwork adjustments:</w:t>
      </w:r>
    </w:p>
    <w:p>
      <w:pPr>
        <w:pStyle w:val="ListParagraph"/>
        <w:numPr>
          <w:ilvl w:val="0"/>
          <w:numId w:val="2"/>
        </w:numPr>
        <w:spacing w:after="80"/>
      </w:pPr>
      <w:r>
        <w:rPr>
          <w:rFonts w:ascii="Arial" w:cs="Arial" w:eastAsia="Arial" w:hAnsi="Arial"/>
          <w:color w:val="1A1A1A"/>
          <w:sz w:val="22"/>
          <w:szCs w:val="22"/>
        </w:rPr>
        <w:t xml:space="preserve">Use of force policies and training</w:t>
      </w:r>
    </w:p>
    <w:p>
      <w:pPr>
        <w:pStyle w:val="ListParagraph"/>
        <w:numPr>
          <w:ilvl w:val="0"/>
          <w:numId w:val="2"/>
        </w:numPr>
        <w:spacing w:after="80"/>
      </w:pPr>
      <w:r>
        <w:rPr>
          <w:rFonts w:ascii="Arial" w:cs="Arial" w:eastAsia="Arial" w:hAnsi="Arial"/>
          <w:color w:val="1A1A1A"/>
          <w:sz w:val="22"/>
          <w:szCs w:val="22"/>
        </w:rPr>
        <w:t xml:space="preserve">Canine operations</w:t>
      </w:r>
    </w:p>
    <w:p>
      <w:pPr>
        <w:pStyle w:val="ListParagraph"/>
        <w:numPr>
          <w:ilvl w:val="0"/>
          <w:numId w:val="2"/>
        </w:numPr>
        <w:spacing w:after="80"/>
      </w:pPr>
      <w:r>
        <w:rPr>
          <w:rFonts w:ascii="Arial" w:cs="Arial" w:eastAsia="Arial" w:hAnsi="Arial"/>
          <w:color w:val="1A1A1A"/>
          <w:sz w:val="22"/>
          <w:szCs w:val="22"/>
        </w:rPr>
        <w:t xml:space="preserve">Stops, searches, and seizures</w:t>
      </w:r>
    </w:p>
    <w:p>
      <w:pPr>
        <w:pStyle w:val="ListParagraph"/>
        <w:numPr>
          <w:ilvl w:val="0"/>
          <w:numId w:val="2"/>
        </w:numPr>
        <w:spacing w:after="80"/>
      </w:pPr>
      <w:r>
        <w:rPr>
          <w:rFonts w:ascii="Arial" w:cs="Arial" w:eastAsia="Arial" w:hAnsi="Arial"/>
          <w:color w:val="1A1A1A"/>
          <w:sz w:val="22"/>
          <w:szCs w:val="22"/>
        </w:rPr>
        <w:t xml:space="preserve">Personnel complaint systems</w:t>
      </w:r>
    </w:p>
    <w:p>
      <w:pPr>
        <w:pStyle w:val="ListParagraph"/>
        <w:numPr>
          <w:ilvl w:val="0"/>
          <w:numId w:val="2"/>
        </w:numPr>
        <w:spacing w:after="80"/>
      </w:pPr>
      <w:r>
        <w:rPr>
          <w:rFonts w:ascii="Arial" w:cs="Arial" w:eastAsia="Arial" w:hAnsi="Arial"/>
          <w:color w:val="1A1A1A"/>
          <w:sz w:val="22"/>
          <w:szCs w:val="22"/>
        </w:rPr>
        <w:t xml:space="preserve">Supervisory oversight and accountability</w:t>
      </w:r>
    </w:p>
    <w:p>
      <w:pPr>
        <w:spacing w:after="80"/>
      </w:pPr>
    </w:p>
    <w:p>
      <w:pPr>
        <w:spacing w:after="140"/>
      </w:pPr>
      <w:r>
        <w:rPr>
          <w:rFonts w:ascii="Arial" w:cs="Arial" w:eastAsia="Arial" w:hAnsi="Arial"/>
          <w:b w:val="false"/>
          <w:bCs w:val="false"/>
          <w:color w:val="1A1A1A"/>
          <w:sz w:val="22"/>
          <w:szCs w:val="22"/>
        </w:rPr>
        <w:t xml:space="preserve">The areas where KCSO achieved full compliance — behavioral health crisis response, language access, recruitment, and community policing — are structurally lower-resistance: they require new programs, new hires, or new language access services. They do not require Sheriff Youngblood or his command staff to change how deputies are allowed to use force.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thick" w:color="8B0000" w:sz="16"/>
              <w:bottom w:val="single" w:color="8B0000" w:sz="4"/>
              <w:right w:val="single" w:color="F2F4F7" w:sz="1"/>
            </w:tcBorders>
            <w:shd w:fill="FFF0F0" w:val="clear"/>
            <w:tcMar>
              <w:top w:type="dxa" w:w="120"/>
              <w:left w:type="dxa" w:w="200"/>
              <w:bottom w:type="dxa" w:w="120"/>
              <w:right w:type="dxa" w:w="120"/>
            </w:tcMar>
          </w:tcPr>
          <w:p>
            <w:r>
              <w:rPr>
                <w:rFonts w:ascii="Arial" w:cs="Arial" w:eastAsia="Arial" w:hAnsi="Arial"/>
                <w:b/>
                <w:bCs/>
                <w:color w:val="8B0000"/>
                <w:sz w:val="18"/>
                <w:szCs w:val="18"/>
              </w:rPr>
              <w:t xml:space="preserve">KCSO’S PUBLIC DEFENSE</w:t>
            </w:r>
          </w:p>
          <w:p>
            <w:pPr>
              <w:spacing w:after="0"/>
            </w:pPr>
            <w:r>
              <w:rPr>
                <w:rFonts w:ascii="Arial" w:cs="Arial" w:eastAsia="Arial" w:hAnsi="Arial"/>
                <w:color w:val="1A1A1A"/>
                <w:sz w:val="22"/>
                <w:szCs w:val="22"/>
              </w:rPr>
              <w:t xml:space="preserve">Sheriff Youngblood publicly blamed DOJ delays: “Despite the best efforts of the KCSO and the County, the lack of reciprocal diligence by our partners regarding some of the requirements of the Stipulated Judgment has significantly undermined KCSO’s ability to demonstrate compliance.” In other words: it’s everyone else’s fault. And then, within weeks of the extension being granted, three people were killed in eight days.</w:t>
            </w:r>
          </w:p>
        </w:tc>
      </w:tr>
    </w:tbl>
    <w:p>
      <w:pPr>
        <w:spacing w:after="80"/>
      </w:pPr>
    </w:p>
    <w:p>
      <w:pPr>
        <w:pStyle w:val="Heading2"/>
      </w:pPr>
      <w:r>
        <w:rPr>
          <w:rFonts w:ascii="Arial" w:cs="Arial" w:eastAsia="Arial" w:hAnsi="Arial"/>
        </w:rPr>
        <w:t xml:space="preserve">3.2 BPD: Year Four, Five Areas in Full Compliance, No Extension</w:t>
      </w:r>
    </w:p>
    <w:p>
      <w:pPr>
        <w:spacing w:after="140"/>
      </w:pPr>
      <w:r>
        <w:rPr>
          <w:rFonts w:ascii="Arial" w:cs="Arial" w:eastAsia="Arial" w:hAnsi="Arial"/>
          <w:b w:val="false"/>
          <w:bCs w:val="false"/>
          <w:color w:val="1A1A1A"/>
          <w:sz w:val="22"/>
          <w:szCs w:val="22"/>
        </w:rPr>
        <w:t xml:space="preserve">BPD’s Year Four Monitoring Report, released in May 2026, shows the department has achieved full and effective compliance in five of its mandated reform areas. The Bakersfield Monitoring Team reports “substantive work in support of reform in Year Four,” including:</w:t>
      </w:r>
    </w:p>
    <w:p>
      <w:pPr>
        <w:pStyle w:val="ListParagraph"/>
        <w:numPr>
          <w:ilvl w:val="0"/>
          <w:numId w:val="2"/>
        </w:numPr>
        <w:spacing w:after="80"/>
      </w:pPr>
      <w:r>
        <w:rPr>
          <w:rFonts w:ascii="Arial" w:cs="Arial" w:eastAsia="Arial" w:hAnsi="Arial"/>
          <w:color w:val="1A1A1A"/>
          <w:sz w:val="22"/>
          <w:szCs w:val="22"/>
        </w:rPr>
        <w:t xml:space="preserve">Submission of major use-of-force, handcuffing, restraints, energy weapons, and officer-involved critical incident policies for compliance review</w:t>
      </w:r>
    </w:p>
    <w:p>
      <w:pPr>
        <w:pStyle w:val="ListParagraph"/>
        <w:numPr>
          <w:ilvl w:val="0"/>
          <w:numId w:val="2"/>
        </w:numPr>
        <w:spacing w:after="80"/>
      </w:pPr>
      <w:r>
        <w:rPr>
          <w:rFonts w:ascii="Arial" w:cs="Arial" w:eastAsia="Arial" w:hAnsi="Arial"/>
          <w:color w:val="1A1A1A"/>
          <w:sz w:val="22"/>
          <w:szCs w:val="22"/>
        </w:rPr>
        <w:t xml:space="preserve">Development of standardized training systems with detailed lesson plans, curriculum overviews, and scenario-based training exercises</w:t>
      </w:r>
    </w:p>
    <w:p>
      <w:pPr>
        <w:pStyle w:val="ListParagraph"/>
        <w:numPr>
          <w:ilvl w:val="0"/>
          <w:numId w:val="2"/>
        </w:numPr>
        <w:spacing w:after="80"/>
      </w:pPr>
      <w:r>
        <w:rPr>
          <w:rFonts w:ascii="Arial" w:cs="Arial" w:eastAsia="Arial" w:hAnsi="Arial"/>
          <w:color w:val="1A1A1A"/>
          <w:sz w:val="22"/>
          <w:szCs w:val="22"/>
        </w:rPr>
        <w:t xml:space="preserve">A meaningful decline in critical incidents from six in 2023 to two in 2024, and officer-involved shootings from seven to three</w:t>
      </w:r>
    </w:p>
    <w:p>
      <w:pPr>
        <w:pStyle w:val="ListParagraph"/>
        <w:numPr>
          <w:ilvl w:val="0"/>
          <w:numId w:val="2"/>
        </w:numPr>
        <w:spacing w:after="80"/>
      </w:pPr>
      <w:r>
        <w:rPr>
          <w:rFonts w:ascii="Arial" w:cs="Arial" w:eastAsia="Arial" w:hAnsi="Arial"/>
          <w:color w:val="1A1A1A"/>
          <w:sz w:val="22"/>
          <w:szCs w:val="22"/>
        </w:rPr>
        <w:t xml:space="preserve">An early 2025 data review showing a continued decline in reported use-of-force incidents</w:t>
      </w:r>
    </w:p>
    <w:p>
      <w:pPr>
        <w:pStyle w:val="ListParagraph"/>
        <w:numPr>
          <w:ilvl w:val="0"/>
          <w:numId w:val="2"/>
        </w:numPr>
        <w:spacing w:after="80"/>
      </w:pPr>
      <w:r>
        <w:rPr>
          <w:rFonts w:ascii="Arial" w:cs="Arial" w:eastAsia="Arial" w:hAnsi="Arial"/>
          <w:color w:val="1A1A1A"/>
          <w:sz w:val="22"/>
          <w:szCs w:val="22"/>
        </w:rPr>
        <w:t xml:space="preserve">Internal review discussions now examining not just whether force was lawful, but communication, tactics, de-escalation, and available alternatives</w:t>
      </w:r>
    </w:p>
    <w:p>
      <w:pPr>
        <w:spacing w:after="80"/>
      </w:pPr>
    </w:p>
    <w:p>
      <w:pPr>
        <w:spacing w:after="140"/>
      </w:pPr>
      <w:r>
        <w:rPr>
          <w:rFonts w:ascii="Arial" w:cs="Arial" w:eastAsia="Arial" w:hAnsi="Arial"/>
          <w:b w:val="false"/>
          <w:bCs w:val="false"/>
          <w:color w:val="1A1A1A"/>
          <w:sz w:val="22"/>
          <w:szCs w:val="22"/>
        </w:rPr>
        <w:t xml:space="preserve">The monitoring team stated it “believes the City of Bakersfield will achieve its goals of a police department that is responsive and community-centered and treats all residents fairly.” As BPD enters Year Five, it is shifting from policy development into training implementation. The DOJ has not sought or been granted an extension.</w:t>
      </w:r>
    </w:p>
    <w:p>
      <w:pPr>
        <w:spacing w:after="80"/>
      </w:pPr>
    </w:p>
    <w:p>
      <w:pPr>
        <w:pStyle w:val="Heading2"/>
      </w:pPr>
      <w:r>
        <w:rPr>
          <w:rFonts w:ascii="Arial" w:cs="Arial" w:eastAsia="Arial" w:hAnsi="Arial"/>
        </w:rPr>
        <w:t xml:space="preserve">3.3 Reform Area by Reform Area: The Comparison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D0D4DC" w:sz="1"/>
              <w:left w:val="single" w:color="D0D4DC" w:sz="1"/>
              <w:bottom w:val="single" w:color="D0D4DC" w:sz="1"/>
              <w:right w:val="single" w:color="D0D4D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Reform Area</w:t>
            </w:r>
          </w:p>
        </w:tc>
        <w:tc>
          <w:tcPr>
            <w:tcW w:type="dxa" w:w="3240"/>
            <w:tcBorders>
              <w:top w:val="single" w:color="D0D4DC" w:sz="1"/>
              <w:left w:val="single" w:color="D0D4DC" w:sz="1"/>
              <w:bottom w:val="single" w:color="D0D4DC" w:sz="1"/>
              <w:right w:val="single" w:color="D0D4D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KCSO Status (2026)</w:t>
            </w:r>
          </w:p>
        </w:tc>
        <w:tc>
          <w:tcPr>
            <w:tcW w:type="dxa" w:w="3600"/>
            <w:tcBorders>
              <w:top w:val="single" w:color="D0D4DC" w:sz="1"/>
              <w:left w:val="single" w:color="D0D4DC" w:sz="1"/>
              <w:bottom w:val="single" w:color="D0D4DC" w:sz="1"/>
              <w:right w:val="single" w:color="D0D4D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BPD Status (2026)</w:t>
            </w:r>
          </w:p>
        </w:tc>
      </w:tr>
      <w:tr>
        <w:tc>
          <w:tcPr>
            <w:tcW w:type="dxa" w:w="252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Use of Force</w:t>
            </w:r>
          </w:p>
        </w:tc>
        <w:tc>
          <w:tcPr>
            <w:tcW w:type="dxa" w:w="3240"/>
            <w:tcBorders>
              <w:top w:val="single" w:color="D0D4DC" w:sz="1"/>
              <w:left w:val="single" w:color="D0D4DC" w:sz="1"/>
              <w:bottom w:val="single" w:color="D0D4DC" w:sz="1"/>
              <w:right w:val="single" w:color="D0D4D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8B0000"/>
                <w:sz w:val="20"/>
                <w:szCs w:val="20"/>
              </w:rPr>
              <w:t xml:space="preserve">Non-compliant / Partial. Five years; no full compliance. Extension granted.</w:t>
            </w:r>
          </w:p>
        </w:tc>
        <w:tc>
          <w:tcPr>
            <w:tcW w:type="dxa" w:w="3600"/>
            <w:tcBorders>
              <w:top w:val="single" w:color="D0D4DC" w:sz="1"/>
              <w:left w:val="single" w:color="D0D4DC" w:sz="1"/>
              <w:bottom w:val="single" w:color="D0D4DC" w:sz="1"/>
              <w:right w:val="single" w:color="D0D4D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5C2E"/>
                <w:sz w:val="20"/>
                <w:szCs w:val="20"/>
              </w:rPr>
              <w:t xml:space="preserve">Multiple policies submitted &amp; reviewed. Critical incidents declining. Moving to training implementation.</w:t>
            </w:r>
          </w:p>
        </w:tc>
      </w:tr>
      <w:tr>
        <w:tc>
          <w:tcPr>
            <w:tcW w:type="dxa" w:w="252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Canine Operations</w:t>
            </w:r>
          </w:p>
        </w:tc>
        <w:tc>
          <w:tcPr>
            <w:tcW w:type="dxa" w:w="3240"/>
            <w:tcBorders>
              <w:top w:val="single" w:color="D0D4DC" w:sz="1"/>
              <w:left w:val="single" w:color="D0D4DC" w:sz="1"/>
              <w:bottom w:val="single" w:color="D0D4DC" w:sz="1"/>
              <w:right w:val="single" w:color="D0D4D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8B0000"/>
                <w:sz w:val="20"/>
                <w:szCs w:val="20"/>
              </w:rPr>
              <w:t xml:space="preserve">Non-compliant / Partial. Among the five areas still failing.</w:t>
            </w:r>
          </w:p>
        </w:tc>
        <w:tc>
          <w:tcPr>
            <w:tcW w:type="dxa" w:w="3600"/>
            <w:tcBorders>
              <w:top w:val="single" w:color="D0D4DC" w:sz="1"/>
              <w:left w:val="single" w:color="D0D4DC" w:sz="1"/>
              <w:bottom w:val="single" w:color="D0D4DC" w:sz="1"/>
              <w:right w:val="single" w:color="D0D4DC" w:sz="1"/>
            </w:tcBorders>
            <w:shd w:fill="FFFBE6" w:val="clear"/>
            <w:tcMar>
              <w:top w:type="dxa" w:w="80"/>
              <w:left w:type="dxa" w:w="140"/>
              <w:bottom w:type="dxa" w:w="80"/>
              <w:right w:type="dxa" w:w="140"/>
            </w:tcMar>
            <w:vAlign w:val="center"/>
          </w:tcPr>
          <w:p>
            <w:pPr>
              <w:jc w:val="left"/>
            </w:pPr>
            <w:r>
              <w:rPr>
                <w:rFonts w:ascii="Arial" w:cs="Arial" w:eastAsia="Arial" w:hAnsi="Arial"/>
                <w:b w:val="false"/>
                <w:bCs w:val="false"/>
                <w:color w:val="5C4A00"/>
                <w:sz w:val="20"/>
                <w:szCs w:val="20"/>
              </w:rPr>
              <w:t xml:space="preserve">Under active reform; “bark and hold” policy replacing direct bite deployment.</w:t>
            </w:r>
          </w:p>
        </w:tc>
      </w:tr>
      <w:tr>
        <w:tc>
          <w:tcPr>
            <w:tcW w:type="dxa" w:w="252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Stops, Searches &amp; Seizures</w:t>
            </w:r>
          </w:p>
        </w:tc>
        <w:tc>
          <w:tcPr>
            <w:tcW w:type="dxa" w:w="3240"/>
            <w:tcBorders>
              <w:top w:val="single" w:color="D0D4DC" w:sz="1"/>
              <w:left w:val="single" w:color="D0D4DC" w:sz="1"/>
              <w:bottom w:val="single" w:color="D0D4DC" w:sz="1"/>
              <w:right w:val="single" w:color="D0D4D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8B0000"/>
                <w:sz w:val="20"/>
                <w:szCs w:val="20"/>
              </w:rPr>
              <w:t xml:space="preserve">Non-compliant. Five years without achieving compliance.</w:t>
            </w:r>
          </w:p>
        </w:tc>
        <w:tc>
          <w:tcPr>
            <w:tcW w:type="dxa" w:w="3600"/>
            <w:tcBorders>
              <w:top w:val="single" w:color="D0D4DC" w:sz="1"/>
              <w:left w:val="single" w:color="D0D4DC" w:sz="1"/>
              <w:bottom w:val="single" w:color="D0D4DC" w:sz="1"/>
              <w:right w:val="single" w:color="D0D4D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5C2E"/>
                <w:sz w:val="20"/>
                <w:szCs w:val="20"/>
              </w:rPr>
              <w:t xml:space="preserve">Year Two work plan introduced monitoring for this area; progress documented.</w:t>
            </w:r>
          </w:p>
        </w:tc>
      </w:tr>
      <w:tr>
        <w:tc>
          <w:tcPr>
            <w:tcW w:type="dxa" w:w="252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Personnel Complaints</w:t>
            </w:r>
          </w:p>
        </w:tc>
        <w:tc>
          <w:tcPr>
            <w:tcW w:type="dxa" w:w="3240"/>
            <w:tcBorders>
              <w:top w:val="single" w:color="D0D4DC" w:sz="1"/>
              <w:left w:val="single" w:color="D0D4DC" w:sz="1"/>
              <w:bottom w:val="single" w:color="D0D4DC" w:sz="1"/>
              <w:right w:val="single" w:color="D0D4D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8B0000"/>
                <w:sz w:val="20"/>
                <w:szCs w:val="20"/>
              </w:rPr>
              <w:t xml:space="preserve">Non-compliant. Complaint data not granularly public. No outlier officer analysis.</w:t>
            </w:r>
          </w:p>
        </w:tc>
        <w:tc>
          <w:tcPr>
            <w:tcW w:type="dxa" w:w="3600"/>
            <w:tcBorders>
              <w:top w:val="single" w:color="D0D4DC" w:sz="1"/>
              <w:left w:val="single" w:color="D0D4DC" w:sz="1"/>
              <w:bottom w:val="single" w:color="D0D4DC" w:sz="1"/>
              <w:right w:val="single" w:color="D0D4DC" w:sz="1"/>
            </w:tcBorders>
            <w:shd w:fill="FFFBE6" w:val="clear"/>
            <w:tcMar>
              <w:top w:type="dxa" w:w="80"/>
              <w:left w:type="dxa" w:w="140"/>
              <w:bottom w:type="dxa" w:w="80"/>
              <w:right w:type="dxa" w:w="140"/>
            </w:tcMar>
            <w:vAlign w:val="center"/>
          </w:tcPr>
          <w:p>
            <w:pPr>
              <w:jc w:val="left"/>
            </w:pPr>
            <w:r>
              <w:rPr>
                <w:rFonts w:ascii="Arial" w:cs="Arial" w:eastAsia="Arial" w:hAnsi="Arial"/>
                <w:b w:val="false"/>
                <w:bCs w:val="false"/>
                <w:color w:val="5C4A00"/>
                <w:sz w:val="20"/>
                <w:szCs w:val="20"/>
              </w:rPr>
              <w:t xml:space="preserve">2024 report shows 945 allegations tracked. Monitoring team identified 18 outlier officers (26.1% of all complaints). Pattern made public.</w:t>
            </w:r>
          </w:p>
        </w:tc>
      </w:tr>
      <w:tr>
        <w:tc>
          <w:tcPr>
            <w:tcW w:type="dxa" w:w="252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Supervisory Oversight</w:t>
            </w:r>
          </w:p>
        </w:tc>
        <w:tc>
          <w:tcPr>
            <w:tcW w:type="dxa" w:w="3240"/>
            <w:tcBorders>
              <w:top w:val="single" w:color="D0D4DC" w:sz="1"/>
              <w:left w:val="single" w:color="D0D4DC" w:sz="1"/>
              <w:bottom w:val="single" w:color="D0D4DC" w:sz="1"/>
              <w:right w:val="single" w:color="D0D4D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8B0000"/>
                <w:sz w:val="20"/>
                <w:szCs w:val="20"/>
              </w:rPr>
              <w:t xml:space="preserve">Non-compliant. Use of force reviews still primarily justify, not scrutinize, officer conduct.</w:t>
            </w:r>
          </w:p>
        </w:tc>
        <w:tc>
          <w:tcPr>
            <w:tcW w:type="dxa" w:w="3600"/>
            <w:tcBorders>
              <w:top w:val="single" w:color="D0D4DC" w:sz="1"/>
              <w:left w:val="single" w:color="D0D4DC" w:sz="1"/>
              <w:bottom w:val="single" w:color="D0D4DC" w:sz="1"/>
              <w:right w:val="single" w:color="D0D4D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5C2E"/>
                <w:sz w:val="20"/>
                <w:szCs w:val="20"/>
              </w:rPr>
              <w:t xml:space="preserve">Internal discussions now assess communication, tactics, alternatives to force — not just legality.</w:t>
            </w:r>
          </w:p>
        </w:tc>
      </w:tr>
      <w:tr>
        <w:tc>
          <w:tcPr>
            <w:tcW w:type="dxa" w:w="252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Community Engagement</w:t>
            </w:r>
          </w:p>
        </w:tc>
        <w:tc>
          <w:tcPr>
            <w:tcW w:type="dxa" w:w="3240"/>
            <w:tcBorders>
              <w:top w:val="single" w:color="D0D4DC" w:sz="1"/>
              <w:left w:val="single" w:color="D0D4DC" w:sz="1"/>
              <w:bottom w:val="single" w:color="D0D4DC" w:sz="1"/>
              <w:right w:val="single" w:color="D0D4D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8B0000"/>
                <w:sz w:val="20"/>
                <w:szCs w:val="20"/>
              </w:rPr>
              <w:t xml:space="preserve">CAC: 4 members resigned in 2023 citing dysfunction. KCSO described as disruptive.</w:t>
            </w:r>
          </w:p>
        </w:tc>
        <w:tc>
          <w:tcPr>
            <w:tcW w:type="dxa" w:w="3600"/>
            <w:tcBorders>
              <w:top w:val="single" w:color="D0D4DC" w:sz="1"/>
              <w:left w:val="single" w:color="D0D4DC" w:sz="1"/>
              <w:bottom w:val="single" w:color="D0D4DC" w:sz="1"/>
              <w:right w:val="single" w:color="D0D4D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5C2E"/>
                <w:sz w:val="20"/>
                <w:szCs w:val="20"/>
              </w:rPr>
              <w:t xml:space="preserve">CAP: active, meets regularly, responded to hundreds of community comments on policy drafts. Diverse membership. Functioning.</w:t>
            </w:r>
          </w:p>
        </w:tc>
      </w:tr>
      <w:tr>
        <w:tc>
          <w:tcPr>
            <w:tcW w:type="dxa" w:w="252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Behavioral Health Response</w:t>
            </w:r>
          </w:p>
        </w:tc>
        <w:tc>
          <w:tcPr>
            <w:tcW w:type="dxa" w:w="3240"/>
            <w:tcBorders>
              <w:top w:val="single" w:color="D0D4DC" w:sz="1"/>
              <w:left w:val="single" w:color="D0D4DC" w:sz="1"/>
              <w:bottom w:val="single" w:color="D0D4DC" w:sz="1"/>
              <w:right w:val="single" w:color="D0D4D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5C2E"/>
                <w:sz w:val="20"/>
                <w:szCs w:val="20"/>
              </w:rPr>
              <w:t xml:space="preserve">Full compliance. New co-response MOU approved 2025.</w:t>
            </w:r>
          </w:p>
        </w:tc>
        <w:tc>
          <w:tcPr>
            <w:tcW w:type="dxa" w:w="3600"/>
            <w:tcBorders>
              <w:top w:val="single" w:color="D0D4DC" w:sz="1"/>
              <w:left w:val="single" w:color="D0D4DC" w:sz="1"/>
              <w:bottom w:val="single" w:color="D0D4DC" w:sz="1"/>
              <w:right w:val="single" w:color="D0D4D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5C2E"/>
                <w:sz w:val="20"/>
                <w:szCs w:val="20"/>
              </w:rPr>
              <w:t xml:space="preserve">Full compliance.</w:t>
            </w:r>
          </w:p>
        </w:tc>
      </w:tr>
      <w:tr>
        <w:tc>
          <w:tcPr>
            <w:tcW w:type="dxa" w:w="252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Recruitment &amp; Language Access</w:t>
            </w:r>
          </w:p>
        </w:tc>
        <w:tc>
          <w:tcPr>
            <w:tcW w:type="dxa" w:w="3240"/>
            <w:tcBorders>
              <w:top w:val="single" w:color="D0D4DC" w:sz="1"/>
              <w:left w:val="single" w:color="D0D4DC" w:sz="1"/>
              <w:bottom w:val="single" w:color="D0D4DC" w:sz="1"/>
              <w:right w:val="single" w:color="D0D4D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5C2E"/>
                <w:sz w:val="20"/>
                <w:szCs w:val="20"/>
              </w:rPr>
              <w:t xml:space="preserve">Full compliance in both areas.</w:t>
            </w:r>
          </w:p>
        </w:tc>
        <w:tc>
          <w:tcPr>
            <w:tcW w:type="dxa" w:w="3600"/>
            <w:tcBorders>
              <w:top w:val="single" w:color="D0D4DC" w:sz="1"/>
              <w:left w:val="single" w:color="D0D4DC" w:sz="1"/>
              <w:bottom w:val="single" w:color="D0D4DC" w:sz="1"/>
              <w:right w:val="single" w:color="D0D4D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5C2E"/>
                <w:sz w:val="20"/>
                <w:szCs w:val="20"/>
              </w:rPr>
              <w:t xml:space="preserve">Full compliance in both areas.</w:t>
            </w:r>
          </w:p>
        </w:tc>
      </w:tr>
      <w:tr>
        <w:tc>
          <w:tcPr>
            <w:tcW w:type="dxa" w:w="252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DOJ Extension Sought / Granted</w:t>
            </w:r>
          </w:p>
        </w:tc>
        <w:tc>
          <w:tcPr>
            <w:tcW w:type="dxa" w:w="3240"/>
            <w:tcBorders>
              <w:top w:val="single" w:color="D0D4DC" w:sz="1"/>
              <w:left w:val="single" w:color="D0D4DC" w:sz="1"/>
              <w:bottom w:val="single" w:color="D0D4DC" w:sz="1"/>
              <w:right w:val="single" w:color="D0D4D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8B0000"/>
                <w:sz w:val="20"/>
                <w:szCs w:val="20"/>
              </w:rPr>
              <w:t xml:space="preserve">YES — two-year extension granted March 2026 over KCSO’s objection.</w:t>
            </w:r>
          </w:p>
        </w:tc>
        <w:tc>
          <w:tcPr>
            <w:tcW w:type="dxa" w:w="3600"/>
            <w:tcBorders>
              <w:top w:val="single" w:color="D0D4DC" w:sz="1"/>
              <w:left w:val="single" w:color="D0D4DC" w:sz="1"/>
              <w:bottom w:val="single" w:color="D0D4DC" w:sz="1"/>
              <w:right w:val="single" w:color="D0D4D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5C2E"/>
                <w:sz w:val="20"/>
                <w:szCs w:val="20"/>
              </w:rPr>
              <w:t xml:space="preserve">NO — no extension sought or granted as of May 2026.</w:t>
            </w:r>
          </w:p>
        </w:tc>
      </w:tr>
      <w:tr>
        <w:tc>
          <w:tcPr>
            <w:tcW w:type="dxa" w:w="252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Deaths within oversight period</w:t>
            </w:r>
          </w:p>
        </w:tc>
        <w:tc>
          <w:tcPr>
            <w:tcW w:type="dxa" w:w="3240"/>
            <w:tcBorders>
              <w:top w:val="single" w:color="D0D4DC" w:sz="1"/>
              <w:left w:val="single" w:color="D0D4DC" w:sz="1"/>
              <w:bottom w:val="single" w:color="D0D4DC" w:sz="1"/>
              <w:right w:val="single" w:color="D0D4D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8B0000"/>
                <w:sz w:val="20"/>
                <w:szCs w:val="20"/>
              </w:rPr>
              <w:t xml:space="preserve">Multiple. 3 killed in 8 days immediately following extension (April 2026).</w:t>
            </w:r>
          </w:p>
        </w:tc>
        <w:tc>
          <w:tcPr>
            <w:tcW w:type="dxa" w:w="3600"/>
            <w:tcBorders>
              <w:top w:val="single" w:color="D0D4DC" w:sz="1"/>
              <w:left w:val="single" w:color="D0D4DC" w:sz="1"/>
              <w:bottom w:val="single" w:color="D0D4DC" w:sz="1"/>
              <w:right w:val="single" w:color="D0D4D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5C2E"/>
                <w:sz w:val="20"/>
                <w:szCs w:val="20"/>
              </w:rPr>
              <w:t xml:space="preserve">Declining. Officer-involved shootings fell from 7 (2023) to 3 (2024).</w:t>
            </w:r>
          </w:p>
        </w:tc>
      </w:tr>
    </w:tbl>
    <w:p>
      <w:r>
        <w:br w:type="page"/>
      </w:r>
    </w:p>
    <w:p>
      <w:pPr>
        <w:pStyle w:val="Heading1"/>
      </w:pPr>
      <w:r>
        <w:rPr>
          <w:rFonts w:ascii="Arial" w:cs="Arial" w:eastAsia="Arial" w:hAnsi="Arial"/>
        </w:rPr>
        <w:t xml:space="preserve">IV. The Leadership Variable: The Most Important Difference</w:t>
      </w:r>
    </w:p>
    <w:p>
      <w:pPr>
        <w:spacing w:after="140"/>
      </w:pPr>
      <w:r>
        <w:rPr>
          <w:rFonts w:ascii="Arial" w:cs="Arial" w:eastAsia="Arial" w:hAnsi="Arial"/>
          <w:b w:val="false"/>
          <w:bCs w:val="false"/>
          <w:color w:val="1A1A1A"/>
          <w:sz w:val="22"/>
          <w:szCs w:val="22"/>
        </w:rPr>
        <w:t xml:space="preserve">The most significant structural difference between BPD’s reform trajectory and KCSO’s failure is not funding, geography, department size, or community demographics. It is leadership philosophy.</w:t>
      </w:r>
    </w:p>
    <w:p>
      <w:pPr>
        <w:pStyle w:val="Heading2"/>
      </w:pPr>
      <w:r>
        <w:rPr>
          <w:rFonts w:ascii="Arial" w:cs="Arial" w:eastAsia="Arial" w:hAnsi="Arial"/>
        </w:rPr>
        <w:t xml:space="preserve">4.1 BPD: Leadership as Partnership</w:t>
      </w:r>
    </w:p>
    <w:p>
      <w:pPr>
        <w:spacing w:after="140"/>
      </w:pPr>
      <w:r>
        <w:rPr>
          <w:rFonts w:ascii="Arial" w:cs="Arial" w:eastAsia="Arial" w:hAnsi="Arial"/>
          <w:b w:val="false"/>
          <w:bCs w:val="false"/>
          <w:color w:val="1A1A1A"/>
          <w:sz w:val="22"/>
          <w:szCs w:val="22"/>
        </w:rPr>
        <w:t xml:space="preserve">Chief Greg Terry, who led BPD from 2020 through April 2026, set the tone for BPD’s reform engagement from day one. When the Stipulated Judgment was signed in August 2021, Terry said: “We do not agree with the findings and the conclusions made by the DOJ, but what today was about was coming to an agreement without any finding of fault to really look forward — to find a path forward to demonstrate that we’re a model agency, that we’re professional, that we’re accountable, transparent and connected to our community.”</w:t>
      </w:r>
    </w:p>
    <w:p>
      <w:pPr>
        <w:spacing w:after="140"/>
      </w:pPr>
      <w:r>
        <w:rPr>
          <w:rFonts w:ascii="Arial" w:cs="Arial" w:eastAsia="Arial" w:hAnsi="Arial"/>
          <w:b w:val="false"/>
          <w:bCs w:val="false"/>
          <w:color w:val="1A1A1A"/>
          <w:sz w:val="22"/>
          <w:szCs w:val="22"/>
        </w:rPr>
        <w:t xml:space="preserve">Critically, Terry distinguished between disagreeing with a finding and refusing to comply with a requirement. He framed compliance not as a burden but as an opportunity to demonstrate institutional quality. His follow-up statement: “I can say with certainty that the men and women with the Bakersfield Police Department will work diligently to uphold the agreement. We have a strong desire to complete this as soon as possible, so we have been really hard at work.”</w:t>
      </w:r>
    </w:p>
    <w:p>
      <w:pPr>
        <w:spacing w:after="140"/>
      </w:pPr>
      <w:r>
        <w:rPr>
          <w:rFonts w:ascii="Arial" w:cs="Arial" w:eastAsia="Arial" w:hAnsi="Arial"/>
          <w:b w:val="false"/>
          <w:bCs w:val="false"/>
          <w:color w:val="1A1A1A"/>
          <w:sz w:val="22"/>
          <w:szCs w:val="22"/>
        </w:rPr>
        <w:t xml:space="preserve">When Terry retired in April 2026, he was succeeded by Brent Stratton, a 22-year BPD veteran promoted from within following community listening sessions. Stratton’s stated priorities include reducing gun violence, improving street safety, and continuing transparency. His approach: “I want them to see our department as a place that cares about them … I know we’re not always gonna get it right, but I want them to know that there are good people here who are trying, that our ears are open, that we’re willing to listen, to be able to take feedback, criticism, to be able to course correct.”</w:t>
      </w:r>
    </w:p>
    <w:p>
      <w:pPr>
        <w:spacing w:after="80"/>
      </w:pPr>
    </w:p>
    <w:p>
      <w:pPr>
        <w:pStyle w:val="Heading2"/>
      </w:pPr>
      <w:r>
        <w:rPr>
          <w:rFonts w:ascii="Arial" w:cs="Arial" w:eastAsia="Arial" w:hAnsi="Arial"/>
        </w:rPr>
        <w:t xml:space="preserve">4.2 KCSO: Leadership as Defiance</w:t>
      </w:r>
    </w:p>
    <w:p>
      <w:pPr>
        <w:spacing w:after="140"/>
      </w:pPr>
      <w:r>
        <w:rPr>
          <w:rFonts w:ascii="Arial" w:cs="Arial" w:eastAsia="Arial" w:hAnsi="Arial"/>
          <w:b w:val="false"/>
          <w:bCs w:val="false"/>
          <w:color w:val="1A1A1A"/>
          <w:sz w:val="22"/>
          <w:szCs w:val="22"/>
        </w:rPr>
        <w:t xml:space="preserve">Sheriff Donny Youngblood’s public posture throughout the reform period has been the inverse of BPD’s. Where Terry said “we have a strong desire to complete this,” Youngblood asked “how long does it take to be in compliance?” Where Terry took personal responsibility for the process, Youngblood blamed the DOJ. Where Terry framed reform as building a model agency, Youngblood framed it as a bureaucratic obstacle.</w:t>
      </w:r>
    </w:p>
    <w:p>
      <w:pPr>
        <w:spacing w:after="140"/>
      </w:pPr>
      <w:r>
        <w:rPr>
          <w:rFonts w:ascii="Arial" w:cs="Arial" w:eastAsia="Arial" w:hAnsi="Arial"/>
          <w:b w:val="false"/>
          <w:bCs w:val="false"/>
          <w:color w:val="1A1A1A"/>
          <w:sz w:val="22"/>
          <w:szCs w:val="22"/>
        </w:rPr>
        <w:t xml:space="preserve">The most revealing contrast came in April 2026, immediately after the DOJ extension. As BPD continued implementing training reforms, KCSO deployed an armored vehicle to run over a 59-year-old man. Youngblood’s response: “When use of force, deadly force, is used to stop a threat to save your life — all bets are off.”</w:t>
      </w:r>
    </w:p>
    <w:p>
      <w:pPr>
        <w:spacing w:after="140"/>
      </w:pPr>
      <w:r>
        <w:rPr>
          <w:rFonts w:ascii="Arial" w:cs="Arial" w:eastAsia="Arial" w:hAnsi="Arial"/>
          <w:b w:val="false"/>
          <w:bCs w:val="false"/>
          <w:color w:val="1A1A1A"/>
          <w:sz w:val="22"/>
          <w:szCs w:val="22"/>
        </w:rPr>
        <w:t xml:space="preserve">This is not the language of an agency moving toward constitutional policing. This is the language of an agency that views the Stipulated Judgment as an external imposition to be outlasted, not a mandate to be honored.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4DC" w:sz="1"/>
              <w:left w:val="single" w:color="D0D4DC" w:sz="1"/>
              <w:bottom w:val="single" w:color="D0D4DC" w:sz="1"/>
              <w:right w:val="single" w:color="D0D4D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Leadership Dimension</w:t>
            </w:r>
          </w:p>
        </w:tc>
        <w:tc>
          <w:tcPr>
            <w:tcW w:type="dxa" w:w="3120"/>
            <w:tcBorders>
              <w:top w:val="single" w:color="D0D4DC" w:sz="1"/>
              <w:left w:val="single" w:color="D0D4DC" w:sz="1"/>
              <w:bottom w:val="single" w:color="D0D4DC" w:sz="1"/>
              <w:right w:val="single" w:color="D0D4D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BPD Leadership</w:t>
            </w:r>
          </w:p>
        </w:tc>
        <w:tc>
          <w:tcPr>
            <w:tcW w:type="dxa" w:w="3120"/>
            <w:tcBorders>
              <w:top w:val="single" w:color="D0D4DC" w:sz="1"/>
              <w:left w:val="single" w:color="D0D4DC" w:sz="1"/>
              <w:bottom w:val="single" w:color="D0D4DC" w:sz="1"/>
              <w:right w:val="single" w:color="D0D4D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KCSO Leadership</w:t>
            </w:r>
          </w:p>
        </w:tc>
      </w:tr>
      <w:tr>
        <w:tc>
          <w:tcPr>
            <w:tcW w:type="dxa" w:w="312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Initial response to DOJ findings</w:t>
            </w:r>
          </w:p>
        </w:tc>
        <w:tc>
          <w:tcPr>
            <w:tcW w:type="dxa" w:w="3120"/>
            <w:tcBorders>
              <w:top w:val="single" w:color="D0D4DC" w:sz="1"/>
              <w:left w:val="single" w:color="D0D4DC" w:sz="1"/>
              <w:bottom w:val="single" w:color="D0D4DC" w:sz="1"/>
              <w:right w:val="single" w:color="D0D4D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5C2E"/>
                <w:sz w:val="20"/>
                <w:szCs w:val="20"/>
              </w:rPr>
              <w:t xml:space="preserve">“Path forward to be a model agency”</w:t>
            </w:r>
          </w:p>
        </w:tc>
        <w:tc>
          <w:tcPr>
            <w:tcW w:type="dxa" w:w="3120"/>
            <w:tcBorders>
              <w:top w:val="single" w:color="D0D4DC" w:sz="1"/>
              <w:left w:val="single" w:color="D0D4DC" w:sz="1"/>
              <w:bottom w:val="single" w:color="D0D4DC" w:sz="1"/>
              <w:right w:val="single" w:color="D0D4D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8B0000"/>
                <w:sz w:val="20"/>
                <w:szCs w:val="20"/>
              </w:rPr>
              <w:t xml:space="preserve">Denial of all civil rights violations</w:t>
            </w:r>
          </w:p>
        </w:tc>
      </w:tr>
      <w:tr>
        <w:tc>
          <w:tcPr>
            <w:tcW w:type="dxa" w:w="312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Tone on compliance</w:t>
            </w:r>
          </w:p>
        </w:tc>
        <w:tc>
          <w:tcPr>
            <w:tcW w:type="dxa" w:w="3120"/>
            <w:tcBorders>
              <w:top w:val="single" w:color="D0D4DC" w:sz="1"/>
              <w:left w:val="single" w:color="D0D4DC" w:sz="1"/>
              <w:bottom w:val="single" w:color="D0D4DC" w:sz="1"/>
              <w:right w:val="single" w:color="D0D4D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5C2E"/>
                <w:sz w:val="20"/>
                <w:szCs w:val="20"/>
              </w:rPr>
              <w:t xml:space="preserve">“Strong desire to complete this as soon as possible”</w:t>
            </w:r>
          </w:p>
        </w:tc>
        <w:tc>
          <w:tcPr>
            <w:tcW w:type="dxa" w:w="3120"/>
            <w:tcBorders>
              <w:top w:val="single" w:color="D0D4DC" w:sz="1"/>
              <w:left w:val="single" w:color="D0D4DC" w:sz="1"/>
              <w:bottom w:val="single" w:color="D0D4DC" w:sz="1"/>
              <w:right w:val="single" w:color="D0D4D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8B0000"/>
                <w:sz w:val="20"/>
                <w:szCs w:val="20"/>
              </w:rPr>
              <w:t xml:space="preserve">“How long does it take to be in compliance?”</w:t>
            </w:r>
          </w:p>
        </w:tc>
      </w:tr>
      <w:tr>
        <w:tc>
          <w:tcPr>
            <w:tcW w:type="dxa" w:w="312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Community advisory body</w:t>
            </w:r>
          </w:p>
        </w:tc>
        <w:tc>
          <w:tcPr>
            <w:tcW w:type="dxa" w:w="3120"/>
            <w:tcBorders>
              <w:top w:val="single" w:color="D0D4DC" w:sz="1"/>
              <w:left w:val="single" w:color="D0D4DC" w:sz="1"/>
              <w:bottom w:val="single" w:color="D0D4DC" w:sz="1"/>
              <w:right w:val="single" w:color="D0D4D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5C2E"/>
                <w:sz w:val="20"/>
                <w:szCs w:val="20"/>
              </w:rPr>
              <w:t xml:space="preserve">Active, functioning, diverse. Responded to hundreds of community policy comments.</w:t>
            </w:r>
          </w:p>
        </w:tc>
        <w:tc>
          <w:tcPr>
            <w:tcW w:type="dxa" w:w="3120"/>
            <w:tcBorders>
              <w:top w:val="single" w:color="D0D4DC" w:sz="1"/>
              <w:left w:val="single" w:color="D0D4DC" w:sz="1"/>
              <w:bottom w:val="single" w:color="D0D4DC" w:sz="1"/>
              <w:right w:val="single" w:color="D0D4D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8B0000"/>
                <w:sz w:val="20"/>
                <w:szCs w:val="20"/>
              </w:rPr>
              <w:t xml:space="preserve">4 members resigned 2023 citing KCSO dysfunction and disruption.</w:t>
            </w:r>
          </w:p>
        </w:tc>
      </w:tr>
      <w:tr>
        <w:tc>
          <w:tcPr>
            <w:tcW w:type="dxa" w:w="312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Accountability language</w:t>
            </w:r>
          </w:p>
        </w:tc>
        <w:tc>
          <w:tcPr>
            <w:tcW w:type="dxa" w:w="3120"/>
            <w:tcBorders>
              <w:top w:val="single" w:color="D0D4DC" w:sz="1"/>
              <w:left w:val="single" w:color="D0D4DC" w:sz="1"/>
              <w:bottom w:val="single" w:color="D0D4DC" w:sz="1"/>
              <w:right w:val="single" w:color="D0D4D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5C2E"/>
                <w:sz w:val="20"/>
                <w:szCs w:val="20"/>
              </w:rPr>
              <w:t xml:space="preserve">“Our ears are open — we’re willing to take feedback, criticism, to course correct.”</w:t>
            </w:r>
          </w:p>
        </w:tc>
        <w:tc>
          <w:tcPr>
            <w:tcW w:type="dxa" w:w="3120"/>
            <w:tcBorders>
              <w:top w:val="single" w:color="D0D4DC" w:sz="1"/>
              <w:left w:val="single" w:color="D0D4DC" w:sz="1"/>
              <w:bottom w:val="single" w:color="D0D4DC" w:sz="1"/>
              <w:right w:val="single" w:color="D0D4D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8B0000"/>
                <w:sz w:val="20"/>
                <w:szCs w:val="20"/>
              </w:rPr>
              <w:t xml:space="preserve">“All bets are off” (after BearCat killing, April 2026)</w:t>
            </w:r>
          </w:p>
        </w:tc>
      </w:tr>
      <w:tr>
        <w:tc>
          <w:tcPr>
            <w:tcW w:type="dxa" w:w="312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When non-compliant, who is blamed?</w:t>
            </w:r>
          </w:p>
        </w:tc>
        <w:tc>
          <w:tcPr>
            <w:tcW w:type="dxa" w:w="3120"/>
            <w:tcBorders>
              <w:top w:val="single" w:color="D0D4DC" w:sz="1"/>
              <w:left w:val="single" w:color="D0D4DC" w:sz="1"/>
              <w:bottom w:val="single" w:color="D0D4DC" w:sz="1"/>
              <w:right w:val="single" w:color="D0D4D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5C2E"/>
                <w:sz w:val="20"/>
                <w:szCs w:val="20"/>
              </w:rPr>
              <w:t xml:space="preserve">Department acknowledges remaining work and commits to it.</w:t>
            </w:r>
          </w:p>
        </w:tc>
        <w:tc>
          <w:tcPr>
            <w:tcW w:type="dxa" w:w="3120"/>
            <w:tcBorders>
              <w:top w:val="single" w:color="D0D4DC" w:sz="1"/>
              <w:left w:val="single" w:color="D0D4DC" w:sz="1"/>
              <w:bottom w:val="single" w:color="D0D4DC" w:sz="1"/>
              <w:right w:val="single" w:color="D0D4D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8B0000"/>
                <w:sz w:val="20"/>
                <w:szCs w:val="20"/>
              </w:rPr>
              <w:t xml:space="preserve">DOJ partners blamed for “lack of reciprocal diligence.”</w:t>
            </w:r>
          </w:p>
        </w:tc>
      </w:tr>
      <w:tr>
        <w:tc>
          <w:tcPr>
            <w:tcW w:type="dxa" w:w="312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External engagement</w:t>
            </w:r>
          </w:p>
        </w:tc>
        <w:tc>
          <w:tcPr>
            <w:tcW w:type="dxa" w:w="3120"/>
            <w:tcBorders>
              <w:top w:val="single" w:color="D0D4DC" w:sz="1"/>
              <w:left w:val="single" w:color="D0D4DC" w:sz="1"/>
              <w:bottom w:val="single" w:color="D0D4DC" w:sz="1"/>
              <w:right w:val="single" w:color="D0D4D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5C2E"/>
                <w:sz w:val="20"/>
                <w:szCs w:val="20"/>
              </w:rPr>
              <w:t xml:space="preserve">IACP, CA Assoc. of Tactical Officers, FBI National Academy. Sought national best practices.</w:t>
            </w:r>
          </w:p>
        </w:tc>
        <w:tc>
          <w:tcPr>
            <w:tcW w:type="dxa" w:w="3120"/>
            <w:tcBorders>
              <w:top w:val="single" w:color="D0D4DC" w:sz="1"/>
              <w:left w:val="single" w:color="D0D4DC" w:sz="1"/>
              <w:bottom w:val="single" w:color="D0D4DC" w:sz="1"/>
              <w:right w:val="single" w:color="D0D4D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8B0000"/>
                <w:sz w:val="20"/>
                <w:szCs w:val="20"/>
              </w:rPr>
              <w:t xml:space="preserve">Insular. Military equipment acquisitions, surveillance expansion, no documented external reform engagement.</w:t>
            </w:r>
          </w:p>
        </w:tc>
      </w:tr>
    </w:tbl>
    <w:p>
      <w:r>
        <w:br w:type="page"/>
      </w:r>
    </w:p>
    <w:p>
      <w:pPr>
        <w:pStyle w:val="Heading1"/>
      </w:pPr>
      <w:r>
        <w:rPr>
          <w:rFonts w:ascii="Arial" w:cs="Arial" w:eastAsia="Arial" w:hAnsi="Arial"/>
        </w:rPr>
        <w:t xml:space="preserve">V. The Community Advisory Body: Function vs. Fiction</w:t>
      </w:r>
    </w:p>
    <w:p>
      <w:pPr>
        <w:spacing w:after="140"/>
      </w:pPr>
      <w:r>
        <w:rPr>
          <w:rFonts w:ascii="Arial" w:cs="Arial" w:eastAsia="Arial" w:hAnsi="Arial"/>
          <w:b w:val="false"/>
          <w:bCs w:val="false"/>
          <w:color w:val="1A1A1A"/>
          <w:sz w:val="22"/>
          <w:szCs w:val="22"/>
        </w:rPr>
        <w:t xml:space="preserve">Both Stipulated Judgments required each agency to establish and maintain a community advisory body to provide public input on reform processes. The contrast between BPD’s Community Advisory Panel (CAP) and KCSO’s Community Advisory Council (CAC) is one of the most telling structural differences in the reform outcomes.</w:t>
      </w:r>
    </w:p>
    <w:p>
      <w:pPr>
        <w:pStyle w:val="Heading2"/>
      </w:pPr>
      <w:r>
        <w:rPr>
          <w:rFonts w:ascii="Arial" w:cs="Arial" w:eastAsia="Arial" w:hAnsi="Arial"/>
        </w:rPr>
        <w:t xml:space="preserve">5.1 BPD Community Advisory Panel: Functioning as Designed</w:t>
      </w:r>
    </w:p>
    <w:p>
      <w:pPr>
        <w:spacing w:after="140"/>
      </w:pPr>
      <w:r>
        <w:rPr>
          <w:rFonts w:ascii="Arial" w:cs="Arial" w:eastAsia="Arial" w:hAnsi="Arial"/>
          <w:b w:val="false"/>
          <w:bCs w:val="false"/>
          <w:color w:val="1A1A1A"/>
          <w:sz w:val="22"/>
          <w:szCs w:val="22"/>
        </w:rPr>
        <w:t xml:space="preserve">BPD’s Community Advisory Panel was established shortly after the 2021 Stipulated Judgment and has remained active throughout the reform period. Its membership was specifically designed to include underserved populations. Panel member Tiffany Sagbohan stated: “We were formed to give a community’s voice to a lot of the policy changes. We wanted to make sure all of our underserved populations were represented on the panel.”</w:t>
      </w:r>
    </w:p>
    <w:p>
      <w:pPr>
        <w:spacing w:after="140"/>
      </w:pPr>
      <w:r>
        <w:rPr>
          <w:rFonts w:ascii="Arial" w:cs="Arial" w:eastAsia="Arial" w:hAnsi="Arial"/>
          <w:b w:val="false"/>
          <w:bCs w:val="false"/>
          <w:color w:val="1A1A1A"/>
          <w:sz w:val="22"/>
          <w:szCs w:val="22"/>
        </w:rPr>
        <w:t xml:space="preserve">The Year Four Monitoring Report documented that BPD responded to hundreds of comments and recommendations from the advisory panel on policy drafts, including use of force, handcuffing, conducted energy weapons, and search and seizure. Community feedback became a “more active part of the process.” The panel’s concerns about internal review boards still tending to justify rather than scrutinize force were included in the public report — demonstrating that the panel has real standing to identify problems, not just validate institutional decisions.</w:t>
      </w:r>
    </w:p>
    <w:p>
      <w:pPr>
        <w:pStyle w:val="Heading2"/>
      </w:pPr>
      <w:r>
        <w:rPr>
          <w:rFonts w:ascii="Arial" w:cs="Arial" w:eastAsia="Arial" w:hAnsi="Arial"/>
        </w:rPr>
        <w:t xml:space="preserve">5.2 KCSO Community Advisory Council: Collapse</w:t>
      </w:r>
    </w:p>
    <w:p>
      <w:pPr>
        <w:spacing w:after="140"/>
      </w:pPr>
      <w:r>
        <w:rPr>
          <w:rFonts w:ascii="Arial" w:cs="Arial" w:eastAsia="Arial" w:hAnsi="Arial"/>
          <w:b w:val="false"/>
          <w:bCs w:val="false"/>
          <w:color w:val="1A1A1A"/>
          <w:sz w:val="22"/>
          <w:szCs w:val="22"/>
        </w:rPr>
        <w:t xml:space="preserve">KCSO’s Community Advisory Council, required by the same Stipulated Judgment framework, collapsed in February 2023 when four members resigned, citing dysfunction and disruptions by the KCSO. Sheriff Youngblood’s public description of KCSO’s conduct during the period leading to those resignations: “cooperative and diligent.”</w:t>
      </w:r>
    </w:p>
    <w:p>
      <w:pPr>
        <w:spacing w:after="140"/>
      </w:pPr>
      <w:r>
        <w:rPr>
          <w:rFonts w:ascii="Arial" w:cs="Arial" w:eastAsia="Arial" w:hAnsi="Arial"/>
          <w:b w:val="false"/>
          <w:bCs w:val="false"/>
          <w:color w:val="1A1A1A"/>
          <w:sz w:val="22"/>
          <w:szCs w:val="22"/>
        </w:rPr>
        <w:t xml:space="preserve">The resignation of four CAC members means that KCSO’s community accountability mechanism was effectively destroyed mid-process. Without a functioning advisory body, there is no structured community input on policy revisions, no public record of community concerns being formally considered, and no external legitimacy check on KCSO’s reform claims.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thick" w:color="8B0000" w:sz="16"/>
              <w:bottom w:val="single" w:color="8B0000" w:sz="4"/>
              <w:right w:val="single" w:color="F2F4F7" w:sz="1"/>
            </w:tcBorders>
            <w:shd w:fill="FFF0F0" w:val="clear"/>
            <w:tcMar>
              <w:top w:type="dxa" w:w="120"/>
              <w:left w:type="dxa" w:w="200"/>
              <w:bottom w:type="dxa" w:w="120"/>
              <w:right w:type="dxa" w:w="120"/>
            </w:tcMar>
          </w:tcPr>
          <w:p>
            <w:r>
              <w:rPr>
                <w:rFonts w:ascii="Arial" w:cs="Arial" w:eastAsia="Arial" w:hAnsi="Arial"/>
                <w:b/>
                <w:bCs/>
                <w:color w:val="8B0000"/>
                <w:sz w:val="18"/>
                <w:szCs w:val="18"/>
              </w:rPr>
              <w:t xml:space="preserve">THE PATTERN</w:t>
            </w:r>
          </w:p>
          <w:p>
            <w:pPr>
              <w:spacing w:after="0"/>
            </w:pPr>
            <w:r>
              <w:rPr>
                <w:rFonts w:ascii="Arial" w:cs="Arial" w:eastAsia="Arial" w:hAnsi="Arial"/>
                <w:color w:val="1A1A1A"/>
                <w:sz w:val="22"/>
                <w:szCs w:val="22"/>
              </w:rPr>
              <w:t xml:space="preserve">KCSO’s CAC is required by the same DOJ agreement that requires BPD’s CAP. BPD’s CAP is actively reviewing use-of-force policy drafts and seeing hundreds of its comments addressed. KCSO’s CAC was driven to resignation. The institution didn’t lose its advisory council by accident. It lost it through conduct.</w:t>
            </w:r>
          </w:p>
        </w:tc>
      </w:tr>
    </w:tbl>
    <w:p>
      <w:r>
        <w:br w:type="page"/>
      </w:r>
    </w:p>
    <w:p>
      <w:pPr>
        <w:pStyle w:val="Heading1"/>
      </w:pPr>
      <w:r>
        <w:rPr>
          <w:rFonts w:ascii="Arial" w:cs="Arial" w:eastAsia="Arial" w:hAnsi="Arial"/>
        </w:rPr>
        <w:t xml:space="preserve">VI. The Budget Comparison: Priorities Made Visible</w:t>
      </w:r>
    </w:p>
    <w:p>
      <w:pPr>
        <w:spacing w:after="140"/>
      </w:pPr>
      <w:r>
        <w:rPr>
          <w:rFonts w:ascii="Arial" w:cs="Arial" w:eastAsia="Arial" w:hAnsi="Arial"/>
          <w:b w:val="false"/>
          <w:bCs w:val="false"/>
          <w:color w:val="1A1A1A"/>
          <w:sz w:val="22"/>
          <w:szCs w:val="22"/>
        </w:rPr>
        <w:t xml:space="preserve">Budget allocations are the most honest expression of institutional priorities. Where money goes reveals what leadership actually values, regardless of what it publicly says it values.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4DC" w:sz="1"/>
              <w:left w:val="single" w:color="D0D4DC" w:sz="1"/>
              <w:bottom w:val="single" w:color="D0D4DC" w:sz="1"/>
              <w:right w:val="single" w:color="D0D4D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Budget Dimension</w:t>
            </w:r>
          </w:p>
        </w:tc>
        <w:tc>
          <w:tcPr>
            <w:tcW w:type="dxa" w:w="3120"/>
            <w:tcBorders>
              <w:top w:val="single" w:color="D0D4DC" w:sz="1"/>
              <w:left w:val="single" w:color="D0D4DC" w:sz="1"/>
              <w:bottom w:val="single" w:color="D0D4DC" w:sz="1"/>
              <w:right w:val="single" w:color="D0D4D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KCSO</w:t>
            </w:r>
          </w:p>
        </w:tc>
        <w:tc>
          <w:tcPr>
            <w:tcW w:type="dxa" w:w="3120"/>
            <w:tcBorders>
              <w:top w:val="single" w:color="D0D4DC" w:sz="1"/>
              <w:left w:val="single" w:color="D0D4DC" w:sz="1"/>
              <w:bottom w:val="single" w:color="D0D4DC" w:sz="1"/>
              <w:right w:val="single" w:color="D0D4D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BPD</w:t>
            </w:r>
          </w:p>
        </w:tc>
      </w:tr>
      <w:tr>
        <w:tc>
          <w:tcPr>
            <w:tcW w:type="dxa" w:w="312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Total annual budget</w:t>
            </w:r>
          </w:p>
        </w:tc>
        <w:tc>
          <w:tcPr>
            <w:tcW w:type="dxa" w:w="312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$345 million (FY 2025–2026)</w:t>
            </w:r>
          </w:p>
        </w:tc>
        <w:tc>
          <w:tcPr>
            <w:tcW w:type="dxa" w:w="312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$130 million (FY 2025–2026)</w:t>
            </w:r>
          </w:p>
        </w:tc>
      </w:tr>
      <w:tr>
        <w:tc>
          <w:tcPr>
            <w:tcW w:type="dxa" w:w="312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Aviation unit budget</w:t>
            </w:r>
          </w:p>
        </w:tc>
        <w:tc>
          <w:tcPr>
            <w:tcW w:type="dxa" w:w="3120"/>
            <w:tcBorders>
              <w:top w:val="single" w:color="D0D4DC" w:sz="1"/>
              <w:left w:val="single" w:color="D0D4DC" w:sz="1"/>
              <w:bottom w:val="single" w:color="D0D4DC" w:sz="1"/>
              <w:right w:val="single" w:color="D0D4D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8B0000"/>
                <w:sz w:val="20"/>
                <w:szCs w:val="20"/>
              </w:rPr>
              <w:t xml:space="preserve">$4.1 million/year. Six aircraft. Seeking third H125 (~$3–5M more).</w:t>
            </w:r>
          </w:p>
        </w:tc>
        <w:tc>
          <w:tcPr>
            <w:tcW w:type="dxa" w:w="312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 dedicated air unit. Ground-focused.</w:t>
            </w:r>
          </w:p>
        </w:tc>
      </w:tr>
      <w:tr>
        <w:tc>
          <w:tcPr>
            <w:tcW w:type="dxa" w:w="312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Armored vehicle spend (recent)</w:t>
            </w:r>
          </w:p>
        </w:tc>
        <w:tc>
          <w:tcPr>
            <w:tcW w:type="dxa" w:w="3120"/>
            <w:tcBorders>
              <w:top w:val="single" w:color="D0D4DC" w:sz="1"/>
              <w:left w:val="single" w:color="D0D4DC" w:sz="1"/>
              <w:bottom w:val="single" w:color="D0D4DC" w:sz="1"/>
              <w:right w:val="single" w:color="D0D4D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8B0000"/>
                <w:sz w:val="20"/>
                <w:szCs w:val="20"/>
              </w:rPr>
              <w:t xml:space="preserve">$402,900 Lenco Bearcat G3 (FY 2023–2024, funding source undisclosed)</w:t>
            </w:r>
          </w:p>
        </w:tc>
        <w:tc>
          <w:tcPr>
            <w:tcW w:type="dxa" w:w="312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Not documented in comparable capital expenditures</w:t>
            </w:r>
          </w:p>
        </w:tc>
      </w:tr>
      <w:tr>
        <w:tc>
          <w:tcPr>
            <w:tcW w:type="dxa" w:w="312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Total misconduct settlements</w:t>
            </w:r>
          </w:p>
        </w:tc>
        <w:tc>
          <w:tcPr>
            <w:tcW w:type="dxa" w:w="3120"/>
            <w:tcBorders>
              <w:top w:val="single" w:color="D0D4DC" w:sz="1"/>
              <w:left w:val="single" w:color="D0D4DC" w:sz="1"/>
              <w:bottom w:val="single" w:color="D0D4DC" w:sz="1"/>
              <w:right w:val="single" w:color="D0D4D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8B0000"/>
                <w:sz w:val="20"/>
                <w:szCs w:val="20"/>
              </w:rPr>
              <w:t xml:space="preserve">$57.8M+ since 2005. $30.5M Lewis verdict (2025) alone.</w:t>
            </w:r>
          </w:p>
        </w:tc>
        <w:tc>
          <w:tcPr>
            <w:tcW w:type="dxa" w:w="312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Francisco Serna settlement: $400,000 (2016). Total figure substantially lower.</w:t>
            </w:r>
          </w:p>
        </w:tc>
      </w:tr>
      <w:tr>
        <w:tc>
          <w:tcPr>
            <w:tcW w:type="dxa" w:w="3120"/>
            <w:tcBorders>
              <w:top w:val="single" w:color="D0D4DC" w:sz="1"/>
              <w:left w:val="single" w:color="D0D4DC" w:sz="1"/>
              <w:bottom w:val="single" w:color="D0D4DC" w:sz="1"/>
              <w:right w:val="single" w:color="D0D4DC"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Reform training investment</w:t>
            </w:r>
          </w:p>
        </w:tc>
        <w:tc>
          <w:tcPr>
            <w:tcW w:type="dxa" w:w="3120"/>
            <w:tcBorders>
              <w:top w:val="single" w:color="D0D4DC" w:sz="1"/>
              <w:left w:val="single" w:color="D0D4DC" w:sz="1"/>
              <w:bottom w:val="single" w:color="D0D4DC" w:sz="1"/>
              <w:right w:val="single" w:color="D0D4D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8B0000"/>
                <w:sz w:val="20"/>
                <w:szCs w:val="20"/>
              </w:rPr>
              <w:t xml:space="preserve">Specialized UAS training ($1,134–$1,852). Tactical gear training ($11,883). No documented reform training investment.</w:t>
            </w:r>
          </w:p>
        </w:tc>
        <w:tc>
          <w:tcPr>
            <w:tcW w:type="dxa" w:w="3600"/>
            <w:tcBorders>
              <w:top w:val="single" w:color="D0D4DC" w:sz="1"/>
              <w:left w:val="single" w:color="D0D4DC" w:sz="1"/>
              <w:bottom w:val="single" w:color="D0D4DC" w:sz="1"/>
              <w:right w:val="single" w:color="D0D4D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5C2E"/>
                <w:sz w:val="20"/>
                <w:szCs w:val="20"/>
              </w:rPr>
              <w:t xml:space="preserve">Standardized reform training curriculum built. Lesson plans, scenario-based exercises, supervisory review training. Documented and reported.</w:t>
            </w:r>
          </w:p>
        </w:tc>
      </w:tr>
      <w:tr>
        <w:tc>
          <w:tcPr>
            <w:tcW w:type="dxa" w:w="312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Asset forfeiture transparency</w:t>
            </w:r>
          </w:p>
        </w:tc>
        <w:tc>
          <w:tcPr>
            <w:tcW w:type="dxa" w:w="3120"/>
            <w:tcBorders>
              <w:top w:val="single" w:color="D0D4DC" w:sz="1"/>
              <w:left w:val="single" w:color="D0D4DC" w:sz="1"/>
              <w:bottom w:val="single" w:color="D0D4DC" w:sz="1"/>
              <w:right w:val="single" w:color="D0D4D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8B0000"/>
                <w:sz w:val="20"/>
                <w:szCs w:val="20"/>
              </w:rPr>
              <w:t xml:space="preserve">No granular public reporting. Aggregate “Fines, Forfeitures and Penalties” only. $402,900 armored vehicle: funding source not disclosed.</w:t>
            </w:r>
          </w:p>
        </w:tc>
        <w:tc>
          <w:tcPr>
            <w:tcW w:type="dxa" w:w="3120"/>
            <w:tcBorders>
              <w:top w:val="single" w:color="D0D4DC" w:sz="1"/>
              <w:left w:val="single" w:color="D0D4DC" w:sz="1"/>
              <w:bottom w:val="single" w:color="D0D4DC" w:sz="1"/>
              <w:right w:val="single" w:color="D0D4D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Not documented as a primary revenue mechanism in reform filings.</w:t>
            </w:r>
          </w:p>
        </w:tc>
      </w:tr>
    </w:tbl>
    <w:p>
      <w:pPr>
        <w:spacing w:after="80"/>
      </w:pPr>
    </w:p>
    <w:p>
      <w:pPr>
        <w:spacing w:after="140"/>
      </w:pPr>
      <w:r>
        <w:rPr>
          <w:rFonts w:ascii="Arial" w:cs="Arial" w:eastAsia="Arial" w:hAnsi="Arial"/>
          <w:b w:val="false"/>
          <w:bCs w:val="false"/>
          <w:color w:val="1A1A1A"/>
          <w:sz w:val="22"/>
          <w:szCs w:val="22"/>
        </w:rPr>
        <w:t xml:space="preserve">The comparison is blunt: KCSO spent $4.1 million per year on aerial surveillance while simultaneously claiming a staffing crisis. BPD, with less than half KCSO’s budget, is investing in the training infrastructure required to achieve constitutional policing. KCSO is investing in the hardware that enables force escalation.</w:t>
      </w:r>
    </w:p>
    <w:p>
      <w:r>
        <w:br w:type="page"/>
      </w:r>
    </w:p>
    <w:p>
      <w:pPr>
        <w:pStyle w:val="Heading1"/>
      </w:pPr>
      <w:r>
        <w:rPr>
          <w:rFonts w:ascii="Arial" w:cs="Arial" w:eastAsia="Arial" w:hAnsi="Arial"/>
        </w:rPr>
        <w:t xml:space="preserve">VII. What the Difference Proves</w:t>
      </w:r>
    </w:p>
    <w:p>
      <w:pPr>
        <w:pStyle w:val="Heading2"/>
      </w:pPr>
      <w:r>
        <w:rPr>
          <w:rFonts w:ascii="Arial" w:cs="Arial" w:eastAsia="Arial" w:hAnsi="Arial"/>
        </w:rPr>
        <w:t xml:space="preserve">7.1 The Reforms Are Not Impossible</w:t>
      </w:r>
    </w:p>
    <w:p>
      <w:pPr>
        <w:spacing w:after="140"/>
      </w:pPr>
      <w:r>
        <w:rPr>
          <w:rFonts w:ascii="Arial" w:cs="Arial" w:eastAsia="Arial" w:hAnsi="Arial"/>
          <w:b w:val="false"/>
          <w:bCs w:val="false"/>
          <w:color w:val="1A1A1A"/>
          <w:sz w:val="22"/>
          <w:szCs w:val="22"/>
        </w:rPr>
        <w:t xml:space="preserve">KCSO has argued, implicitly and explicitly, that the reform requirements are difficult, that compliance timelines are unreasonable, and that external partners bear responsibility for delays. BPD’s trajectory proves that none of these arguments hold. The reforms are achievable. The timeline is reasonable. The requirements are constitutional, not punitive.</w:t>
      </w:r>
    </w:p>
    <w:p>
      <w:pPr>
        <w:spacing w:after="140"/>
      </w:pPr>
      <w:r>
        <w:rPr>
          <w:rFonts w:ascii="Arial" w:cs="Arial" w:eastAsia="Arial" w:hAnsi="Arial"/>
          <w:b w:val="false"/>
          <w:bCs w:val="false"/>
          <w:color w:val="1A1A1A"/>
          <w:sz w:val="22"/>
          <w:szCs w:val="22"/>
        </w:rPr>
        <w:t xml:space="preserve">BPD started its Stipulated Judgment eight months after KCSO’s. It has achieved full compliance in five areas. It has not been granted an extension. It entered Year Five of reform with its leadership publicly committed to finishing the work. KCSO, starting earlier, with a larger budget and a larger department, has failed in the five areas that matter most — the ones that determine whether deputies on the street use force appropriately.</w:t>
      </w:r>
    </w:p>
    <w:p>
      <w:pPr>
        <w:pStyle w:val="Heading2"/>
      </w:pPr>
      <w:r>
        <w:rPr>
          <w:rFonts w:ascii="Arial" w:cs="Arial" w:eastAsia="Arial" w:hAnsi="Arial"/>
        </w:rPr>
        <w:t xml:space="preserve">7.2 The Variable Is Institutional Will</w:t>
      </w:r>
    </w:p>
    <w:p>
      <w:pPr>
        <w:spacing w:after="140"/>
      </w:pPr>
      <w:r>
        <w:rPr>
          <w:rFonts w:ascii="Arial" w:cs="Arial" w:eastAsia="Arial" w:hAnsi="Arial"/>
          <w:b w:val="false"/>
          <w:bCs w:val="false"/>
          <w:color w:val="1A1A1A"/>
          <w:sz w:val="22"/>
          <w:szCs w:val="22"/>
        </w:rPr>
        <w:t xml:space="preserve">Everything else — geography, demographics, crime rates, community composition — is shared. What is not shared is institutional will. BPD’s leadership looked at the DOJ’s findings and said: we don’t agree, but we’re going to be a model agency. KCSO’s leadership looked at the same type of findings and said: we never violated anyone’s rights, and we’re waiting for this to be over.</w:t>
      </w:r>
    </w:p>
    <w:p>
      <w:pPr>
        <w:spacing w:after="140"/>
      </w:pPr>
      <w:r>
        <w:rPr>
          <w:rFonts w:ascii="Arial" w:cs="Arial" w:eastAsia="Arial" w:hAnsi="Arial"/>
          <w:b w:val="false"/>
          <w:bCs w:val="false"/>
          <w:color w:val="1A1A1A"/>
          <w:sz w:val="22"/>
          <w:szCs w:val="22"/>
        </w:rPr>
        <w:t xml:space="preserve">That distinction is not merely rhetorical. It predicted outcomes with precision. The agency that framed reform as an opportunity is making progress. The agency that framed reform as an imposition is killing people in eight-day clusters immediately after its extension.</w:t>
      </w:r>
    </w:p>
    <w:p>
      <w:pPr>
        <w:pStyle w:val="Heading2"/>
      </w:pPr>
      <w:r>
        <w:rPr>
          <w:rFonts w:ascii="Arial" w:cs="Arial" w:eastAsia="Arial" w:hAnsi="Arial"/>
        </w:rPr>
        <w:t xml:space="preserve">7.3 The Architecture of Never Compared to a Path Forward</w:t>
      </w:r>
    </w:p>
    <w:p>
      <w:pPr>
        <w:spacing w:after="140"/>
      </w:pPr>
      <w:r>
        <w:rPr>
          <w:rFonts w:ascii="Arial" w:cs="Arial" w:eastAsia="Arial" w:hAnsi="Arial"/>
          <w:b w:val="false"/>
          <w:bCs w:val="false"/>
          <w:color w:val="1A1A1A"/>
          <w:sz w:val="22"/>
          <w:szCs w:val="22"/>
        </w:rPr>
        <w:t xml:space="preserve">The Watchtower Project identified KCSO’s structural design as the “Architecture of Never”: zero admissions, zero individual accountability, every cost externalized to taxpayers. BPD has demonstrated — imperfectly, with genuine remaining challenges including outlier officers and still-concerning internal review practices — that a different architecture is possible: one where leadership frames accountability as professional obligation, community advisory bodies actually function, and declining use of force is the documented measurable goal.</w:t>
      </w:r>
    </w:p>
    <w:p>
      <w:pPr>
        <w:spacing w:after="140"/>
      </w:pPr>
      <w:r>
        <w:rPr>
          <w:rFonts w:ascii="Arial" w:cs="Arial" w:eastAsia="Arial" w:hAnsi="Arial"/>
          <w:b w:val="false"/>
          <w:bCs w:val="false"/>
          <w:color w:val="1A1A1A"/>
          <w:sz w:val="22"/>
          <w:szCs w:val="22"/>
        </w:rPr>
        <w:t xml:space="preserve">Neither BPD nor KCSO is a finished product. BPD’s monitoring team still flags concerns about internal review boards tending to justify force rather than scrutinize it. The ACLU noted at the time of BPD’s judgment signing that the reforms didn’t go far enough on canine force and discriminatory stops. Eighteen BPD officers accounted for 26.1% of all 2024 complaints, a concentration that demands action.</w:t>
      </w:r>
    </w:p>
    <w:p>
      <w:pPr>
        <w:spacing w:after="140"/>
      </w:pPr>
      <w:r>
        <w:rPr>
          <w:rFonts w:ascii="Arial" w:cs="Arial" w:eastAsia="Arial" w:hAnsi="Arial"/>
          <w:b w:val="false"/>
          <w:bCs w:val="false"/>
          <w:color w:val="1A1A1A"/>
          <w:sz w:val="22"/>
          <w:szCs w:val="22"/>
        </w:rPr>
        <w:t xml:space="preserve">But progress — documented, court-verified, community-engaged progress — is visible at BPD. At KCSO, the only documented direction after five years of oversight is escalation.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4"/>
              <w:left w:val="thick" w:color="1A5C2E" w:sz="16"/>
              <w:bottom w:val="single" w:color="1A5C2E" w:sz="4"/>
              <w:right w:val="single" w:color="F2F4F7" w:sz="1"/>
            </w:tcBorders>
            <w:shd w:fill="EAF4EE" w:val="clear"/>
            <w:tcMar>
              <w:top w:type="dxa" w:w="120"/>
              <w:left w:type="dxa" w:w="200"/>
              <w:bottom w:type="dxa" w:w="120"/>
              <w:right w:type="dxa" w:w="120"/>
            </w:tcMar>
          </w:tcPr>
          <w:p>
            <w:r>
              <w:rPr>
                <w:rFonts w:ascii="Arial" w:cs="Arial" w:eastAsia="Arial" w:hAnsi="Arial"/>
                <w:b/>
                <w:bCs/>
                <w:color w:val="1A5C2E"/>
                <w:sz w:val="18"/>
                <w:szCs w:val="18"/>
              </w:rPr>
              <w:t xml:space="preserve">THE WATCHTOWER FINDING</w:t>
            </w:r>
          </w:p>
          <w:p>
            <w:pPr>
              <w:spacing w:after="0"/>
            </w:pPr>
            <w:r>
              <w:rPr>
                <w:rFonts w:ascii="Arial" w:cs="Arial" w:eastAsia="Arial" w:hAnsi="Arial"/>
                <w:color w:val="1A1A1A"/>
                <w:sz w:val="22"/>
                <w:szCs w:val="22"/>
              </w:rPr>
              <w:t xml:space="preserve">BPD is not a model department. But BPD is proof that the model is achievable. KCSO’s continued failure, in the same city, under the same legal framework, with more resources, after more time, is not a structural inevitability. It is a choice — made every day by an administration that has decided the cost of compliance is not worth the cost of change.</w:t>
            </w:r>
          </w:p>
        </w:tc>
      </w:tr>
    </w:tbl>
    <w:p>
      <w:r>
        <w:br w:type="page"/>
      </w:r>
    </w:p>
    <w:p>
      <w:pPr>
        <w:pStyle w:val="Heading1"/>
      </w:pPr>
      <w:r>
        <w:rPr>
          <w:rFonts w:ascii="Arial" w:cs="Arial" w:eastAsia="Arial" w:hAnsi="Arial"/>
        </w:rPr>
        <w:t xml:space="preserve">VIII. Watchtower Project Demands: Informed by the BPD Comparison</w:t>
      </w:r>
    </w:p>
    <w:p>
      <w:pPr>
        <w:spacing w:after="140"/>
      </w:pPr>
      <w:r>
        <w:rPr>
          <w:rFonts w:ascii="Arial" w:cs="Arial" w:eastAsia="Arial" w:hAnsi="Arial"/>
          <w:b w:val="false"/>
          <w:bCs w:val="false"/>
          <w:color w:val="1A1A1A"/>
          <w:sz w:val="22"/>
          <w:szCs w:val="22"/>
        </w:rPr>
        <w:t xml:space="preserve">The BPD comparison is not academic. It directly informs what specific, achievable demands the Watchtower Project makes regarding KCSO. These are not aspirational — they are operational, because BPD is already doing them:</w:t>
      </w:r>
    </w:p>
    <w:p>
      <w:pPr>
        <w:spacing w:after="80"/>
      </w:pPr>
    </w:p>
    <w:p>
      <w:pPr>
        <w:pStyle w:val="Heading3"/>
      </w:pPr>
      <w:r>
        <w:rPr>
          <w:rFonts w:ascii="Arial" w:cs="Arial" w:eastAsia="Arial" w:hAnsi="Arial"/>
        </w:rPr>
        <w:t xml:space="preserve">Demand 1: Reconstitute the Community Advisory Council</w:t>
      </w:r>
    </w:p>
    <w:p>
      <w:pPr>
        <w:spacing w:after="140"/>
      </w:pPr>
      <w:r>
        <w:rPr>
          <w:rFonts w:ascii="Arial" w:cs="Arial" w:eastAsia="Arial" w:hAnsi="Arial"/>
          <w:b w:val="false"/>
          <w:bCs w:val="false"/>
          <w:color w:val="1A1A1A"/>
          <w:sz w:val="22"/>
          <w:szCs w:val="22"/>
        </w:rPr>
        <w:t xml:space="preserve">BPD’s CAP is functioning, diverse, and actively reviewing use-of-force policy drafts. KCSO’s CAC was driven to resignation. KCSO must reconstitute its CAC with independent community members, a functioning schedule, public meeting records, and a mandate to review all draft policies before submission to the DOJ monitoring team. KCSO leadership must be prohibited from “disrupting” the process.</w:t>
      </w:r>
    </w:p>
    <w:p>
      <w:pPr>
        <w:pStyle w:val="Heading3"/>
      </w:pPr>
      <w:r>
        <w:rPr>
          <w:rFonts w:ascii="Arial" w:cs="Arial" w:eastAsia="Arial" w:hAnsi="Arial"/>
        </w:rPr>
        <w:t xml:space="preserve">Demand 2: Adopt BPD’s Use-of-Force Review Framework</w:t>
      </w:r>
    </w:p>
    <w:p>
      <w:pPr>
        <w:spacing w:after="140"/>
      </w:pPr>
      <w:r>
        <w:rPr>
          <w:rFonts w:ascii="Arial" w:cs="Arial" w:eastAsia="Arial" w:hAnsi="Arial"/>
          <w:b w:val="false"/>
          <w:bCs w:val="false"/>
          <w:color w:val="1A1A1A"/>
          <w:sz w:val="22"/>
          <w:szCs w:val="22"/>
        </w:rPr>
        <w:t xml:space="preserve">BPD’s internal use-of-force reviews now examine communication, tactics, de-escalation, and available alternatives — not just whether the force was technically legal. KCSO’s reviews still produce “within policy” findings for incidents resulting in $30.5M federal jury verdicts. KCSO must adopt a substantive multi-factor review framework equivalent to BPD’s documented approach.</w:t>
      </w:r>
    </w:p>
    <w:p>
      <w:pPr>
        <w:pStyle w:val="Heading3"/>
      </w:pPr>
      <w:r>
        <w:rPr>
          <w:rFonts w:ascii="Arial" w:cs="Arial" w:eastAsia="Arial" w:hAnsi="Arial"/>
        </w:rPr>
        <w:t xml:space="preserve">Demand 3: Public Outlier Officer Reporting</w:t>
      </w:r>
    </w:p>
    <w:p>
      <w:pPr>
        <w:spacing w:after="140"/>
      </w:pPr>
      <w:r>
        <w:rPr>
          <w:rFonts w:ascii="Arial" w:cs="Arial" w:eastAsia="Arial" w:hAnsi="Arial"/>
          <w:b w:val="false"/>
          <w:bCs w:val="false"/>
          <w:color w:val="1A1A1A"/>
          <w:sz w:val="22"/>
          <w:szCs w:val="22"/>
        </w:rPr>
        <w:t xml:space="preserve">BPD’s monitoring team publicly identified that 18 officers accounted for 26.1% of all 2024 personnel complaints. This type of transparency — identifying concentrations of problematic conduct — is fundamental to supervisory accountability. KCSO must adopt equivalent public annual reporting on personnel complaint concentrations.</w:t>
      </w:r>
    </w:p>
    <w:p>
      <w:pPr>
        <w:pStyle w:val="Heading3"/>
      </w:pPr>
      <w:r>
        <w:rPr>
          <w:rFonts w:ascii="Arial" w:cs="Arial" w:eastAsia="Arial" w:hAnsi="Arial"/>
        </w:rPr>
        <w:t xml:space="preserve">Demand 4: Redirect $1M from Air Unit to Reform Training</w:t>
      </w:r>
    </w:p>
    <w:p>
      <w:pPr>
        <w:spacing w:after="140"/>
      </w:pPr>
      <w:r>
        <w:rPr>
          <w:rFonts w:ascii="Arial" w:cs="Arial" w:eastAsia="Arial" w:hAnsi="Arial"/>
          <w:b w:val="false"/>
          <w:bCs w:val="false"/>
          <w:color w:val="1A1A1A"/>
          <w:sz w:val="22"/>
          <w:szCs w:val="22"/>
        </w:rPr>
        <w:t xml:space="preserve">BPD is investing in standardized reform training curriculum, scenario-based exercises, and supervisory review training. KCSO is spending $4.1M per year on aerial surveillance with an 83% critical safety violation rate and no documented reform training investment. Redirecting 25% of the air unit budget ($1M) would fund both reform training infrastructure and 10–15 additional ground deputies.</w:t>
      </w:r>
    </w:p>
    <w:p>
      <w:pPr>
        <w:pStyle w:val="Heading3"/>
      </w:pPr>
      <w:r>
        <w:rPr>
          <w:rFonts w:ascii="Arial" w:cs="Arial" w:eastAsia="Arial" w:hAnsi="Arial"/>
        </w:rPr>
        <w:t xml:space="preserve">Demand 5: Sheriff Youngblood Must Address the BPD Comparison Publicly</w:t>
      </w:r>
    </w:p>
    <w:p>
      <w:pPr>
        <w:spacing w:after="140"/>
      </w:pPr>
      <w:r>
        <w:rPr>
          <w:rFonts w:ascii="Arial" w:cs="Arial" w:eastAsia="Arial" w:hAnsi="Arial"/>
          <w:b w:val="false"/>
          <w:bCs w:val="false"/>
          <w:color w:val="1A1A1A"/>
          <w:sz w:val="22"/>
          <w:szCs w:val="22"/>
        </w:rPr>
        <w:t xml:space="preserve">If KCSO’s five-year failure is not due to institutional will but to some other structural factor, Sheriff Youngblood must publicly explain what BPD has achieved that KCSO cannot. The community deserves an answer to the question this report poses: if BPD can do it, why can’t you?</w:t>
      </w:r>
    </w:p>
    <w:p>
      <w:pPr>
        <w:spacing w:after="80"/>
      </w:pPr>
    </w:p>
    <w:p>
      <w:pPr>
        <w:spacing w:after="120" w:before="480"/>
        <w:jc w:val="center"/>
      </w:pPr>
      <w:r>
        <w:rPr>
          <w:rFonts w:ascii="Arial" w:cs="Arial" w:eastAsia="Arial" w:hAnsi="Arial"/>
          <w:color w:val="B8860B"/>
          <w:sz w:val="36"/>
          <w:szCs w:val="36"/>
        </w:rPr>
        <w:t xml:space="preserve">—</w:t>
      </w:r>
    </w:p>
    <w:p>
      <w:pPr>
        <w:spacing w:after="80"/>
        <w:jc w:val="center"/>
      </w:pPr>
      <w:r>
        <w:rPr>
          <w:rFonts w:ascii="Arial" w:cs="Arial" w:eastAsia="Arial" w:hAnsi="Arial"/>
          <w:color w:val="888888"/>
          <w:sz w:val="20"/>
          <w:szCs w:val="20"/>
        </w:rPr>
        <w:t xml:space="preserve">The Watchtower Project — Oildale, California — May 2026</w:t>
      </w:r>
    </w:p>
    <w:p>
      <w:pPr>
        <w:jc w:val="center"/>
      </w:pPr>
      <w:r>
        <w:rPr>
          <w:rFonts w:ascii="Arial" w:cs="Arial" w:eastAsia="Arial" w:hAnsi="Arial"/>
          <w:b/>
          <w:bCs/>
          <w:color w:val="B8860B"/>
          <w:sz w:val="24"/>
          <w:szCs w:val="24"/>
        </w:rPr>
        <w:t xml:space="preserve">“You Are Not Invisible. You Are the Signal.”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jc w:val="center"/>
    </w:pPr>
    <w:r>
      <w:rPr>
        <w:rFonts w:ascii="Arial" w:cs="Arial" w:eastAsia="Arial" w:hAnsi="Arial"/>
        <w:color w:val="888888"/>
        <w:sz w:val="16"/>
        <w:szCs w:val="16"/>
      </w:rPr>
      <w:t xml:space="preserve">Watchtower Project  |  Joseph Nipper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spacing w:after="60"/>
      <w:jc w:val="right"/>
    </w:pPr>
    <w:r>
      <w:rPr>
        <w:rFonts w:ascii="Arial" w:cs="Arial" w:eastAsia="Arial" w:hAnsi="Arial"/>
        <w:color w:val="888888"/>
        <w:sz w:val="16"/>
        <w:szCs w:val="16"/>
      </w:rPr>
      <w:t xml:space="preserve">THE WATCHTOWER PROJECT — BPD vs. KCSO REFORM COMPARISON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4" w:space="4"/>
      </w:pBdr>
      <w:spacing w:after="18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2026-05-19T06:29:38.817Z</dcterms:created>
  <dcterms:modified xsi:type="dcterms:W3CDTF">2026-05-19T06:29:38.817Z</dcterms:modified>
</cp:coreProperties>
</file>

<file path=docProps/custom.xml><?xml version="1.0" encoding="utf-8"?>
<Properties xmlns="http://schemas.openxmlformats.org/officeDocument/2006/custom-properties" xmlns:vt="http://schemas.openxmlformats.org/officeDocument/2006/docPropsVTypes"/>
</file>