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40786" w14:textId="77777777" w:rsidR="00FE2A17" w:rsidRPr="008D5EEE" w:rsidRDefault="00087FFE" w:rsidP="008D5EEE">
      <w:pPr>
        <w:outlineLvl w:val="0"/>
        <w:rPr>
          <w:b/>
        </w:rPr>
      </w:pPr>
      <w:r w:rsidRPr="008D5EEE">
        <w:rPr>
          <w:b/>
        </w:rPr>
        <w:t>Methods for analyzing the authorship patterns of EDCTP1-funded publications</w:t>
      </w:r>
    </w:p>
    <w:p w14:paraId="19A16E48" w14:textId="77777777" w:rsidR="00FE2A17" w:rsidRPr="008D5EEE" w:rsidRDefault="00FE2A17">
      <w:pPr>
        <w:rPr>
          <w:b/>
        </w:rPr>
      </w:pPr>
    </w:p>
    <w:p w14:paraId="61108863" w14:textId="77777777" w:rsidR="00FE2A17" w:rsidRDefault="008D5EEE">
      <w:r>
        <w:t>Authors: Julie Chaccour, Joe Brew</w:t>
      </w:r>
      <w:bookmarkStart w:id="0" w:name="_GoBack"/>
      <w:bookmarkEnd w:id="0"/>
    </w:p>
    <w:p w14:paraId="524D1BB3" w14:textId="77777777" w:rsidR="008D5EEE" w:rsidRDefault="008D5EEE"/>
    <w:p w14:paraId="732C84C8" w14:textId="77777777" w:rsidR="00FE2A17" w:rsidRDefault="00087FFE">
      <w:r>
        <w:t>Data source: EDCTP publication database</w:t>
      </w:r>
      <w:r w:rsidR="008D5EEE">
        <w:t>, preferably in .csv, .</w:t>
      </w:r>
      <w:proofErr w:type="spellStart"/>
      <w:r w:rsidR="008D5EEE">
        <w:t>sql</w:t>
      </w:r>
      <w:proofErr w:type="spellEnd"/>
      <w:r w:rsidR="008D5EEE">
        <w:t xml:space="preserve"> or .txt format, otherwise as Excel spreadsheet,</w:t>
      </w:r>
      <w:r>
        <w:t xml:space="preserve"> </w:t>
      </w:r>
      <w:r>
        <w:t>extracted from Thomson Reuters Web of Science (exact variables available TBD), including original research articles on epidemiology or clinical trials, total ~700 papers</w:t>
      </w:r>
    </w:p>
    <w:p w14:paraId="0DEED5EF" w14:textId="77777777" w:rsidR="00FE2A17" w:rsidRDefault="00FE2A17"/>
    <w:p w14:paraId="1E91ED3F" w14:textId="77777777" w:rsidR="00FE2A17" w:rsidRDefault="00087FFE">
      <w:r>
        <w:t xml:space="preserve">Groupings: </w:t>
      </w:r>
    </w:p>
    <w:p w14:paraId="5F473EEF" w14:textId="77777777" w:rsidR="00FE2A17" w:rsidRDefault="00087FFE">
      <w:r>
        <w:t>Each study will be assigned at least one</w:t>
      </w:r>
      <w:r>
        <w:t xml:space="preserve"> primary</w:t>
      </w:r>
      <w:r>
        <w:t xml:space="preserve"> country of </w:t>
      </w:r>
      <w:r>
        <w:t>study (where the study took place), an area of research (HIV, malaria, TB, NTDs) as well as first</w:t>
      </w:r>
      <w:r>
        <w:t xml:space="preserve"> (primary)</w:t>
      </w:r>
      <w:r>
        <w:t xml:space="preserve"> and last </w:t>
      </w:r>
      <w:r>
        <w:t xml:space="preserve">(senior) </w:t>
      </w:r>
      <w:r>
        <w:t xml:space="preserve">authors. First and last authors will be assigned at least one country affiliation each and a gender (see “Gender” below). Authors </w:t>
      </w:r>
      <w:r>
        <w:t>and study countries can be grouped in the following groups:</w:t>
      </w:r>
    </w:p>
    <w:p w14:paraId="4B4647BE" w14:textId="77777777" w:rsidR="00FE2A17" w:rsidRDefault="00087FFE">
      <w:pPr>
        <w:numPr>
          <w:ilvl w:val="0"/>
          <w:numId w:val="1"/>
        </w:numPr>
      </w:pPr>
      <w:r>
        <w:t>European EDCTP member countries</w:t>
      </w:r>
    </w:p>
    <w:p w14:paraId="623B1398" w14:textId="77777777" w:rsidR="00FE2A17" w:rsidRDefault="00087FFE">
      <w:pPr>
        <w:numPr>
          <w:ilvl w:val="0"/>
          <w:numId w:val="1"/>
        </w:numPr>
      </w:pPr>
      <w:r>
        <w:t>West Africa</w:t>
      </w:r>
    </w:p>
    <w:p w14:paraId="0F6BAAAE" w14:textId="77777777" w:rsidR="00FE2A17" w:rsidRDefault="00087FFE">
      <w:pPr>
        <w:numPr>
          <w:ilvl w:val="0"/>
          <w:numId w:val="1"/>
        </w:numPr>
      </w:pPr>
      <w:r>
        <w:t>East Africa</w:t>
      </w:r>
    </w:p>
    <w:p w14:paraId="307F7D60" w14:textId="77777777" w:rsidR="00FE2A17" w:rsidRDefault="00087FFE">
      <w:pPr>
        <w:numPr>
          <w:ilvl w:val="0"/>
          <w:numId w:val="1"/>
        </w:numPr>
      </w:pPr>
      <w:r>
        <w:t>Central Africa</w:t>
      </w:r>
    </w:p>
    <w:p w14:paraId="25F98D24" w14:textId="77777777" w:rsidR="00FE2A17" w:rsidRDefault="00087FFE">
      <w:pPr>
        <w:numPr>
          <w:ilvl w:val="0"/>
          <w:numId w:val="1"/>
        </w:numPr>
      </w:pPr>
      <w:r>
        <w:t>Southern Africa</w:t>
      </w:r>
    </w:p>
    <w:p w14:paraId="71A85992" w14:textId="77777777" w:rsidR="00FE2A17" w:rsidRDefault="00087FFE">
      <w:r>
        <w:t xml:space="preserve">To the extent that studies can have multiple countries, multiple </w:t>
      </w:r>
      <w:r>
        <w:t>areas of research, and potentially m</w:t>
      </w:r>
      <w:r>
        <w:t>ultiple regions</w:t>
      </w:r>
      <w:r w:rsidR="008D5EEE">
        <w:t>.</w:t>
      </w:r>
      <w:r>
        <w:t xml:space="preserve"> </w:t>
      </w:r>
      <w:r w:rsidR="008D5EEE">
        <w:t>A</w:t>
      </w:r>
      <w:r>
        <w:t>nalysis will be two-dimensional, analyzing both factors associated with single categorical belonging, as well as factors associated with certain overlaps (see Treatment of Double Affiliations below). Additionall</w:t>
      </w:r>
      <w:r w:rsidR="008D5EEE">
        <w:t>y</w:t>
      </w:r>
      <w:r>
        <w:t>, trends in authorship pa</w:t>
      </w:r>
      <w:r>
        <w:t>tt</w:t>
      </w:r>
      <w:r>
        <w:t>erns will be analyzed over time</w:t>
      </w:r>
      <w:r>
        <w:t>.</w:t>
      </w:r>
    </w:p>
    <w:p w14:paraId="6281186B" w14:textId="77777777" w:rsidR="00FE2A17" w:rsidRDefault="00FE2A17"/>
    <w:p w14:paraId="0D92ADBF" w14:textId="77777777" w:rsidR="00FE2A17" w:rsidRDefault="00087FFE">
      <w:pPr>
        <w:rPr>
          <w:rFonts w:cs="Helvetica"/>
        </w:rPr>
      </w:pPr>
      <w:r>
        <w:rPr>
          <w:rFonts w:cs="Helvetica"/>
        </w:rPr>
        <w:t xml:space="preserve">Gender: </w:t>
      </w:r>
    </w:p>
    <w:p w14:paraId="4F2028F1" w14:textId="77777777" w:rsidR="00FE2A17" w:rsidRDefault="00087FFE">
      <w:pPr>
        <w:rPr>
          <w:rFonts w:cs="Helvetica"/>
        </w:rPr>
      </w:pPr>
      <w:r>
        <w:rPr>
          <w:rFonts w:cs="Helvetica"/>
        </w:rPr>
        <w:t>Gender will be assigned according to likelihood of having a certain gender based on first names.</w:t>
      </w:r>
      <w:r>
        <w:rPr>
          <w:rFonts w:cs="Helvetica"/>
        </w:rPr>
        <w:t xml:space="preserve"> Given </w:t>
      </w:r>
      <w:r>
        <w:rPr>
          <w:rFonts w:cs="Helvetica"/>
        </w:rPr>
        <w:t>that publication databases do not systematically collect and store data on author gender, we will instead estimate the likelihood of a participant being of one of two genders (male or female) based on first name. In order to do this, we use</w:t>
      </w:r>
      <w:r w:rsidR="008D5EEE">
        <w:rPr>
          <w:rFonts w:cs="Helvetica"/>
        </w:rPr>
        <w:t xml:space="preserve"> </w:t>
      </w:r>
      <w:r>
        <w:rPr>
          <w:rFonts w:cs="Helvetica"/>
        </w:rPr>
        <w:t xml:space="preserve">data from the </w:t>
      </w:r>
      <w:r>
        <w:rPr>
          <w:rFonts w:cs="Helvetica"/>
        </w:rPr>
        <w:t xml:space="preserve">North Atlantic Population Project, and U.S. government </w:t>
      </w:r>
      <w:r>
        <w:rPr>
          <w:rFonts w:cs="Helvetica"/>
        </w:rPr>
        <w:t xml:space="preserve">(L. Mullen, Gender: Predict gender from names using historical data, 2015. </w:t>
      </w:r>
      <w:r w:rsidR="008D5EEE">
        <w:rPr>
          <w:rFonts w:cs="Helvetica"/>
        </w:rPr>
        <w:t>(</w:t>
      </w:r>
      <w:r>
        <w:rPr>
          <w:rFonts w:cs="Helvetica"/>
        </w:rPr>
        <w:t>https://github.com/ropensci/</w:t>
      </w:r>
      <w:r>
        <w:rPr>
          <w:rFonts w:cs="Helvetica"/>
        </w:rPr>
        <w:t>gender).</w:t>
      </w:r>
    </w:p>
    <w:p w14:paraId="1FCF7401" w14:textId="77777777" w:rsidR="00FE2A17" w:rsidRDefault="00FE2A17"/>
    <w:p w14:paraId="74A204A8" w14:textId="77777777" w:rsidR="00FE2A17" w:rsidRDefault="00FE2A17"/>
    <w:p w14:paraId="06998703" w14:textId="77777777" w:rsidR="00FE2A17" w:rsidRDefault="00087FFE">
      <w:r>
        <w:t>Treatment of double affiliations</w:t>
      </w:r>
      <w:r>
        <w:t xml:space="preserve">: </w:t>
      </w:r>
    </w:p>
    <w:p w14:paraId="4ADD39CF" w14:textId="77777777" w:rsidR="00FE2A17" w:rsidRDefault="00FE2A17"/>
    <w:p w14:paraId="23FF8B20" w14:textId="77777777" w:rsidR="00FE2A17" w:rsidRDefault="00087FFE">
      <w:r>
        <w:t xml:space="preserve">In an analysis of institutional affiliations of researchers in the biosciences in Germany, UK and Japan, roughly 10% of authors used multiple affiliations in the period of 2008-2014. Judging from the </w:t>
      </w:r>
      <w:r>
        <w:t>profoundly</w:t>
      </w:r>
      <w:r>
        <w:t xml:space="preserve"> collaborative nature of global heal</w:t>
      </w:r>
      <w:r>
        <w:t xml:space="preserve">th research, this percentage is likely to be </w:t>
      </w:r>
      <w:r>
        <w:t>greater</w:t>
      </w:r>
      <w:r>
        <w:t xml:space="preserve"> and cannot be neglected in the analysis.</w:t>
      </w:r>
    </w:p>
    <w:p w14:paraId="1D8904B2" w14:textId="77777777" w:rsidR="00FE2A17" w:rsidRDefault="00087FFE">
      <w:r>
        <w:t xml:space="preserve">In the literature, various methods account for multiple authorships: </w:t>
      </w:r>
      <w:proofErr w:type="spellStart"/>
      <w:r>
        <w:t>Chersich</w:t>
      </w:r>
      <w:proofErr w:type="spellEnd"/>
      <w:r>
        <w:t xml:space="preserve"> et al. (2016) consider an author locally affiliated if one of his affiliations</w:t>
      </w:r>
      <w:r>
        <w:t xml:space="preserve"> is located in the country of study and hence assign a single affiliation. This is troublesome, however, because journals with fee waivers for LMIC countries allow for using a secondary affiliation as the host affiliation</w:t>
      </w:r>
      <w:r>
        <w:t>, thereby in</w:t>
      </w:r>
      <w:r w:rsidR="008D5EEE">
        <w:t>c</w:t>
      </w:r>
      <w:r>
        <w:t>entivizing authors to d</w:t>
      </w:r>
      <w:r>
        <w:t xml:space="preserve">eclare LMIC </w:t>
      </w:r>
      <w:r>
        <w:lastRenderedPageBreak/>
        <w:t>affiliation over what might otherwise be</w:t>
      </w:r>
      <w:r w:rsidR="008D5EEE">
        <w:t xml:space="preserve"> </w:t>
      </w:r>
      <w:r>
        <w:t xml:space="preserve">a more dominant </w:t>
      </w:r>
      <w:r>
        <w:t>declaration</w:t>
      </w:r>
      <w:r>
        <w:t xml:space="preserve">. Hence authors with a primary affiliation in Europe could be counted as African authors. Assigning an author to the country with the largest </w:t>
      </w:r>
      <w:r>
        <w:rPr>
          <w:i/>
        </w:rPr>
        <w:t>per-capita</w:t>
      </w:r>
      <w:r>
        <w:t xml:space="preserve"> gross domest</w:t>
      </w:r>
      <w:r>
        <w:t>ic product as in Krause et al. (2007) would provide a second estimate towards the other end of the scale.</w:t>
      </w:r>
    </w:p>
    <w:p w14:paraId="2C85F1BD" w14:textId="77777777" w:rsidR="00FE2A17" w:rsidRDefault="00087FFE">
      <w:proofErr w:type="spellStart"/>
      <w:r>
        <w:t>Lubrano</w:t>
      </w:r>
      <w:proofErr w:type="spellEnd"/>
      <w:r>
        <w:t xml:space="preserve"> et al (2003) and </w:t>
      </w:r>
      <w:proofErr w:type="spellStart"/>
      <w:r>
        <w:t>Faria</w:t>
      </w:r>
      <w:proofErr w:type="spellEnd"/>
      <w:r>
        <w:t xml:space="preserve"> et al. (2000) consider an author A with affiliations X and Y as two authors AX and AY. </w:t>
      </w:r>
      <w:proofErr w:type="spellStart"/>
      <w:r>
        <w:t>Ciaian</w:t>
      </w:r>
      <w:proofErr w:type="spellEnd"/>
      <w:r>
        <w:t xml:space="preserve"> et al accredit the public</w:t>
      </w:r>
      <w:r>
        <w:t xml:space="preserve">ations equally to all affiliated institutions (e.g. ½ X and ½ Y). We shall </w:t>
      </w:r>
      <w:r>
        <w:t>carry out analysis using (</w:t>
      </w:r>
      <w:r>
        <w:t>I</w:t>
      </w:r>
      <w:r>
        <w:t xml:space="preserve">) the declared affiliation of the author, (ii) Krause’s greatest GDP method, and (iii) </w:t>
      </w:r>
      <w:proofErr w:type="spellStart"/>
      <w:r>
        <w:t>Lubrano’s</w:t>
      </w:r>
      <w:proofErr w:type="spellEnd"/>
      <w:r>
        <w:t xml:space="preserve"> weighted method, and will present all results as part of </w:t>
      </w:r>
      <w:proofErr w:type="gramStart"/>
      <w:r>
        <w:t xml:space="preserve">a </w:t>
      </w:r>
      <w:r>
        <w:t xml:space="preserve"> sensitivity</w:t>
      </w:r>
      <w:proofErr w:type="gramEnd"/>
      <w:r>
        <w:t xml:space="preserve"> analysis. </w:t>
      </w:r>
    </w:p>
    <w:p w14:paraId="2997A7AB" w14:textId="77777777" w:rsidR="00FE2A17" w:rsidRDefault="00FE2A17"/>
    <w:p w14:paraId="3A0813F4" w14:textId="77777777" w:rsidR="00FE2A17" w:rsidRDefault="00087FFE">
      <w:r>
        <w:t xml:space="preserve">Citation data: </w:t>
      </w:r>
      <w:r>
        <w:tab/>
      </w:r>
      <w:proofErr w:type="spellStart"/>
      <w:r>
        <w:t>ScimagoJR</w:t>
      </w:r>
      <w:proofErr w:type="spellEnd"/>
      <w:r>
        <w:t xml:space="preserve"> (http://www.scimagojr.com/) and Sco</w:t>
      </w:r>
      <w:r>
        <w:t>p</w:t>
      </w:r>
      <w:r w:rsidR="008D5EEE">
        <w:t>u</w:t>
      </w:r>
      <w:r>
        <w:t xml:space="preserve">s </w:t>
      </w:r>
      <w:proofErr w:type="spellStart"/>
      <w:r>
        <w:t>CiteScore</w:t>
      </w:r>
      <w:proofErr w:type="spellEnd"/>
      <w:r>
        <w:t xml:space="preserve"> (</w:t>
      </w:r>
      <w:hyperlink r:id="rId5">
        <w:r>
          <w:rPr>
            <w:rStyle w:val="InternetLink"/>
          </w:rPr>
          <w:t>https://journalmetrics.scopus.com/</w:t>
        </w:r>
      </w:hyperlink>
      <w:r>
        <w:t xml:space="preserve">) databases will be used to extract relevant information pertaining to journal rankings and citations, respectively.  </w:t>
      </w:r>
      <w:r>
        <w:t>Thomson Reuters Journal Citation Report 2011 will be used for extracting impact factors.</w:t>
      </w:r>
    </w:p>
    <w:p w14:paraId="62F24065" w14:textId="77777777" w:rsidR="00FE2A17" w:rsidRDefault="00FE2A17">
      <w:pPr>
        <w:rPr>
          <w:rFonts w:ascii="Helvetica" w:hAnsi="Helvetica" w:cs="Helvetica"/>
        </w:rPr>
      </w:pPr>
    </w:p>
    <w:p w14:paraId="029D4AD9" w14:textId="77777777" w:rsidR="00FE2A17" w:rsidRDefault="00087FFE">
      <w:r>
        <w:rPr>
          <w:rFonts w:cs="Helvetica"/>
        </w:rPr>
        <w:t>Time from stud</w:t>
      </w:r>
      <w:r>
        <w:rPr>
          <w:rFonts w:cs="Helvetica"/>
        </w:rPr>
        <w:t>y end date to publication: Study end date will be extracted for each study from the EDCTP database. Online publication data will be extracted from the publication database if available. Otherwise, publication date will be taken from the online publication.</w:t>
      </w:r>
    </w:p>
    <w:p w14:paraId="674D0660" w14:textId="77777777" w:rsidR="00FE2A17" w:rsidRDefault="00FE2A17"/>
    <w:sectPr w:rsidR="00FE2A17">
      <w:pgSz w:w="11906" w:h="16838"/>
      <w:pgMar w:top="1417" w:right="1701"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alibri">
    <w:altName w:val="Calibri"/>
    <w:panose1 w:val="020F0502020204030204"/>
    <w:charset w:val="00"/>
    <w:family w:val="auto"/>
    <w:pitch w:val="variable"/>
    <w:sig w:usb0="E00002FF" w:usb1="4000ACFF" w:usb2="00000001" w:usb3="00000000" w:csb0="0000019F" w:csb1="00000000"/>
  </w:font>
  <w:font w:name="DejaVu Sans">
    <w:altName w:val="Trebuchet MS"/>
    <w:panose1 w:val="00000000000000000000"/>
    <w:charset w:val="00"/>
    <w:family w:val="swiss"/>
    <w:notTrueType/>
    <w:pitch w:val="variable"/>
    <w:sig w:usb0="00000003" w:usb1="00000000" w:usb2="00000000" w:usb3="00000000" w:csb0="00000001" w:csb1="00000000"/>
  </w:font>
  <w:font w:name="Liberation Sans">
    <w:altName w:val="Arial"/>
    <w:charset w:val="01"/>
    <w:family w:val="roman"/>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A1BC2"/>
    <w:multiLevelType w:val="multilevel"/>
    <w:tmpl w:val="3F285F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D0F78A4"/>
    <w:multiLevelType w:val="multilevel"/>
    <w:tmpl w:val="09461F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A17"/>
    <w:rsid w:val="00087FFE"/>
    <w:rsid w:val="008D5EEE"/>
    <w:rsid w:val="00FE2A1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B06F6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ascii="Cambria" w:hAnsi="Cambria" w:cs="FreeSans"/>
    </w:rPr>
  </w:style>
  <w:style w:type="paragraph" w:styleId="Caption">
    <w:name w:val="caption"/>
    <w:basedOn w:val="Normal"/>
    <w:qFormat/>
    <w:pPr>
      <w:suppressLineNumbers/>
      <w:spacing w:before="120" w:after="120"/>
    </w:pPr>
    <w:rPr>
      <w:rFonts w:ascii="Cambria" w:hAnsi="Cambria" w:cs="FreeSans"/>
      <w:i/>
      <w:iCs/>
    </w:rPr>
  </w:style>
  <w:style w:type="paragraph" w:customStyle="1" w:styleId="Index">
    <w:name w:val="Index"/>
    <w:basedOn w:val="Normal"/>
    <w:qFormat/>
    <w:pPr>
      <w:suppressLineNumbers/>
    </w:pPr>
    <w:rPr>
      <w:rFonts w:ascii="Cambria" w:hAnsi="Cambria" w:cs="FreeSans"/>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color w:val="00000A"/>
      <w:sz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D5E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5EEE"/>
    <w:rPr>
      <w:rFonts w:ascii="Times New Roman" w:hAnsi="Times New Roman" w:cs="Times New Roman"/>
      <w:color w:val="00000A"/>
      <w:sz w:val="18"/>
      <w:szCs w:val="18"/>
    </w:rPr>
  </w:style>
  <w:style w:type="paragraph" w:styleId="Revision">
    <w:name w:val="Revision"/>
    <w:hidden/>
    <w:uiPriority w:val="99"/>
    <w:semiHidden/>
    <w:rsid w:val="008D5EEE"/>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ournalmetrics.scopu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3419</Characters>
  <Application>Microsoft Macintosh Word</Application>
  <DocSecurity>0</DocSecurity>
  <Lines>28</Lines>
  <Paragraphs>8</Paragraphs>
  <ScaleCrop>false</ScaleCrop>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Chaccour</dc:creator>
  <dc:description/>
  <cp:lastModifiedBy>Julie Chaccour</cp:lastModifiedBy>
  <cp:revision>2</cp:revision>
  <dcterms:created xsi:type="dcterms:W3CDTF">2018-04-09T09:37:00Z</dcterms:created>
  <dcterms:modified xsi:type="dcterms:W3CDTF">2018-04-09T09:37:00Z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