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6"/>
          <w:szCs w:val="56"/>
        </w:rPr>
      </w:pPr>
      <w:bookmarkStart w:colFirst="0" w:colLast="0" w:name="_1yatl7fwb3tz" w:id="0"/>
      <w:bookmarkEnd w:id="0"/>
      <w:r w:rsidDel="00000000" w:rsidR="00000000" w:rsidRPr="00000000">
        <w:rPr>
          <w:sz w:val="56"/>
          <w:szCs w:val="56"/>
          <w:rtl w:val="0"/>
        </w:rPr>
        <w:t xml:space="preserve">Foreign direct investment, corporate social responsibility, and malaria control in Mozambique - trends, risks, and opportunities</w:t>
      </w:r>
    </w:p>
    <w:p w:rsidR="00000000" w:rsidDel="00000000" w:rsidP="00000000" w:rsidRDefault="00000000" w:rsidRPr="00000000" w14:paraId="00000002">
      <w:pPr>
        <w:rPr>
          <w:color w:val="00000a"/>
        </w:rPr>
      </w:pPr>
      <w:r w:rsidDel="00000000" w:rsidR="00000000" w:rsidRPr="00000000">
        <w:rPr>
          <w:rtl w:val="0"/>
        </w:rPr>
      </w:r>
    </w:p>
    <w:p w:rsidR="00000000" w:rsidDel="00000000" w:rsidP="00000000" w:rsidRDefault="00000000" w:rsidRPr="00000000" w14:paraId="00000003">
      <w:pPr>
        <w:jc w:val="center"/>
        <w:rPr>
          <w:color w:val="00000a"/>
        </w:rPr>
      </w:pPr>
      <w:r w:rsidDel="00000000" w:rsidR="00000000" w:rsidRPr="00000000">
        <w:rPr>
          <w:color w:val="00000a"/>
          <w:rtl w:val="0"/>
        </w:rPr>
        <w:t xml:space="preserve">Joe Brew* (1, 2), Celine Aerts(1), Elisa Sicuri(1,3,)</w:t>
      </w:r>
    </w:p>
    <w:p w:rsidR="00000000" w:rsidDel="00000000" w:rsidP="00000000" w:rsidRDefault="00000000" w:rsidRPr="00000000" w14:paraId="00000004">
      <w:pPr>
        <w:spacing w:after="180" w:before="180" w:lineRule="auto"/>
        <w:jc w:val="center"/>
        <w:rPr>
          <w:rFonts w:ascii="Calibri" w:cs="Calibri" w:eastAsia="Calibri" w:hAnsi="Calibri"/>
          <w:color w:val="00000a"/>
          <w:sz w:val="16"/>
          <w:szCs w:val="16"/>
        </w:rPr>
      </w:pPr>
      <w:r w:rsidDel="00000000" w:rsidR="00000000" w:rsidRPr="00000000">
        <w:rPr>
          <w:rFonts w:ascii="Calibri" w:cs="Calibri" w:eastAsia="Calibri" w:hAnsi="Calibri"/>
          <w:color w:val="00000a"/>
          <w:sz w:val="16"/>
          <w:szCs w:val="16"/>
          <w:rtl w:val="0"/>
        </w:rPr>
        <w:t xml:space="preserve">1. Barcelona Institute for Global Health: c/ Rosselló, 132, 5è 2a. 08036, Barcelona, Spain</w:t>
      </w:r>
    </w:p>
    <w:p w:rsidR="00000000" w:rsidDel="00000000" w:rsidP="00000000" w:rsidRDefault="00000000" w:rsidRPr="00000000" w14:paraId="00000005">
      <w:pPr>
        <w:spacing w:after="180" w:before="180" w:lineRule="auto"/>
        <w:jc w:val="center"/>
        <w:rPr>
          <w:rFonts w:ascii="Calibri" w:cs="Calibri" w:eastAsia="Calibri" w:hAnsi="Calibri"/>
          <w:color w:val="00000a"/>
          <w:sz w:val="16"/>
          <w:szCs w:val="16"/>
        </w:rPr>
      </w:pPr>
      <w:r w:rsidDel="00000000" w:rsidR="00000000" w:rsidRPr="00000000">
        <w:rPr>
          <w:rFonts w:ascii="Calibri" w:cs="Calibri" w:eastAsia="Calibri" w:hAnsi="Calibri"/>
          <w:color w:val="00000a"/>
          <w:sz w:val="16"/>
          <w:szCs w:val="16"/>
          <w:rtl w:val="0"/>
        </w:rPr>
        <w:t xml:space="preserve">2. VU University Amsterdam: De Boelelaan 1105, 1081 HV Amsterdam, Netherlands</w:t>
      </w:r>
    </w:p>
    <w:p w:rsidR="00000000" w:rsidDel="00000000" w:rsidP="00000000" w:rsidRDefault="00000000" w:rsidRPr="00000000" w14:paraId="00000006">
      <w:pPr>
        <w:spacing w:after="180" w:before="180" w:lineRule="auto"/>
        <w:jc w:val="center"/>
        <w:rPr>
          <w:rFonts w:ascii="Calibri" w:cs="Calibri" w:eastAsia="Calibri" w:hAnsi="Calibri"/>
          <w:sz w:val="16"/>
          <w:szCs w:val="16"/>
        </w:rPr>
      </w:pPr>
      <w:r w:rsidDel="00000000" w:rsidR="00000000" w:rsidRPr="00000000">
        <w:rPr>
          <w:rFonts w:ascii="Calibri" w:cs="Calibri" w:eastAsia="Calibri" w:hAnsi="Calibri"/>
          <w:color w:val="00000a"/>
          <w:sz w:val="16"/>
          <w:szCs w:val="16"/>
          <w:rtl w:val="0"/>
        </w:rPr>
        <w:t xml:space="preserve">3. </w:t>
      </w:r>
      <w:r w:rsidDel="00000000" w:rsidR="00000000" w:rsidRPr="00000000">
        <w:rPr>
          <w:rFonts w:ascii="Calibri" w:cs="Calibri" w:eastAsia="Calibri" w:hAnsi="Calibri"/>
          <w:color w:val="00000a"/>
          <w:sz w:val="16"/>
          <w:szCs w:val="16"/>
          <w:highlight w:val="white"/>
          <w:rtl w:val="0"/>
        </w:rPr>
        <w:t xml:space="preserve">Health Economics group, School of Public Health, Department of Infectious Disease Epidemiology, Imperial College London, London, UK.</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8">
      <w:pPr>
        <w:pStyle w:val="Heading2"/>
        <w:rPr/>
      </w:pPr>
      <w:bookmarkStart w:colFirst="0" w:colLast="0" w:name="_j0kf7jfp1tgl" w:id="1"/>
      <w:bookmarkEnd w:id="1"/>
      <w:r w:rsidDel="00000000" w:rsidR="00000000" w:rsidRPr="00000000">
        <w:rPr>
          <w:rtl w:val="0"/>
        </w:rPr>
        <w:t xml:space="preserve">Abstract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Mozambique has a high ratio of foreign direct investment (FDI) to gross domestic product. Foreign firms' corporate social responsibility (CSR) activities often target malaria. Using publicly available datasets and a systematic review of both grey and academic literature, we quantify the magnitude of FDI and CSR activities over time in Mozambique, analyze the issues and trends associated with these activities, and discuss opportunities and risks for malaria elimination in the context of the private sector delivering a public good.</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gjdgxs" w:id="2"/>
    <w:bookmarkEnd w:id="2"/>
    <w:p w:rsidR="00000000" w:rsidDel="00000000" w:rsidP="00000000" w:rsidRDefault="00000000" w:rsidRPr="00000000" w14:paraId="0000000B">
      <w:pPr>
        <w:pStyle w:val="Heading2"/>
        <w:rPr/>
      </w:pPr>
      <w:r w:rsidDel="00000000" w:rsidR="00000000" w:rsidRPr="00000000">
        <w:rPr>
          <w:rtl w:val="0"/>
        </w:rPr>
        <w:t xml:space="preserve">Introduction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Mozambique is a Southern-East African country with a surface area of nearly 800,000 m2 (more than 3 times that of the United Kingdom) and a population of nearly 30 million inhabitants. Though low-income, Mozambique experienced an upward trend in gross domestic product (GDP) per capita from approximately 200 USD in the late 90s to 623 in 2014, followed by a steep decrease in 2015 down to 382 in 2016 (WB 2016).</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Mozambique’s economic growth up to 2014 was facilitated by the government’s open policy towards foreign direct investment (FDI), a plentiful supply of natural resources (Rogers 2014), and relatively inexpensive labor. These factors combined to push Maputo (Mozambique’s capital) into the top-20 African countries in terms of gross FDI (UNHabitat 2018). Its location (a large, eastward-facing coastline, proximity to rapidly developing South Africa, and integration into trade corridor and zones such as those with Zimbabwe (UNHabitat 2018) and the Southern African community as a whole (Asiedu 2005)) are favorable to foreign investment, which is largely geared towards the export market, and heavily concentrated. 63% of exports come from aluminum, electricity, minerals, and gas, with each sector displaying high degrees of concentration (greater than 50% of the export share of the previous four industries are attributable to one company) (Sutton 2014). The total number of foreign enterprises operating in Mozambique is not ascertainable, but in both quantity and diversity of sources, FDI has increased dramatically in recent years (Sutton 2014). Mozambique was the Sub-Saharan African country with the greatest increase in FDI (defined by the World Bank as cross-border investment to establish a lasting interest) inflows from 2006 to 2014, registering a boom between 2010 and 2014 of about 5000 million USD (UNCTAD 2012).</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impact of FDI on economic growth and other economic indicators has been largely assessed (Alfaro et al. 2006) (Almfraji and Almsafir 2014) (Brundtland 1999). As FDI has been found to improve working conditions in low-income countries and, consequently, population ability to pay (Bloom and Canning 2008), they are likely to improve access to healthcare and, therefore, improve health (Feenstra and Hanson 1997). However, there is some evidence that FDI may have adverse effects on health, through increasing the consumption of “bads” such as tobacco and alcohol and the level of harmful pollution (Pazienza 2015) (Shahbaz et al. 2015). It has been recently assessed that FDIs are weakly associated with a marginal benefit in adults’ life expectancy in low and middle income countries (no impact has been found on children’s health), yet investments into the secondary sector (for being polluting) have been found potentially harmful (Burns et al. 2017).</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Mozambique, improvements in health have accompanied economic expansion, but the country still lags behind in many basic health outcomes (Williams et al. 2015). For example, clusters exist in Southern Mozambique with HIV prevalence as high as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(González et al. 2015).</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Mozambique, like the majority of countries in Sub-Saharan Africa, is still characterised by a high burden of infectious diseases: one of them is malaria.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Malaria is a protozoan parasitic disease, transmitted to humans by mosquitoes.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Plasmodium falciparum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transmitted by the female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Anopheles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mosquito, accounts for a large majority of deaths (N. J. White et al. 2014). Estimates for the year 2015 quantify the burden of malaria in Mozambique in 8,300,000 cases and 15,000 associated deaths (WHO 2016). Despite the still high malaria burden, Mozambique is part of the “Elimination Eight (E8)” malaria initiative, with the country-specific goal of malaria elimination by 2030. Elimination efforts have been particularly active in Southern Mozambique, in border areas contiguous with Swaziland and South Africa, where the goal is elimination by 2020 (Moonasar et 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Several economic activities are strictly linked to malaria. On the one hand, particularly agricultural-based and extraction activities are responsible for considerable increases in the malaria burden, through land and environment modifications that favor the efficiency of mosquitoes in spreading the malaria parasites (Sheela et al. 2017). On the other hand, the same activities, are barely carried out without consistent investment towards malaria management, both prevention and prompt treatment: firms need to protect their workers against infections to maintain their productivity high. In this regard, there is little evidence on economic burden malaria places on the private sector in endemic countries: however, available reports point to profitability of founding malaria control (Nonvignon et al. 2016). Malaria control carried out by some multinational companies have been highly successful and strategies implemented were adopted as a model for the whole country (Asante et al. 2011).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Private investments in malaria control can be done as part of the “normal actions” of private sector or can go beyond what is strictly needed for having workers’ health to carry out activities and be seen as part of the corporate social responsibility (CSR). CSR is defined as those cases in which a company goes “beyond the legal requirements of the country in which they operate” in their work towards that country’s long-term interests, in such a systematic manner that it becomes “business as usual” (Ortega et al. 2016).</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Motivations for engaging in CSR </w:t>
      </w:r>
      <w:r w:rsidDel="00000000" w:rsidR="00000000" w:rsidRPr="00000000">
        <w:rPr>
          <w:rtl w:val="0"/>
        </w:rPr>
        <w:t xml:space="preserve">have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been analyzed in the economic literature. Enterprises would have no incentives to engage in CSR according to Friedman (Friedman 1970) as firms are organized to maximize their profits only. The opposite view is that CSR is actually a strategy for maximizing profits. According to this vision, CSR helps enterprises to make their products known and, therefore, foment consumers’ demand (Porter and Kramer 2002). CSR also helps building a positive reputation of enterprises among institutions and communities where they operate: this is particularly useful for foreign firms that have no previous contacts with the host country/communities (Y. Zhu, Sun, and Leung 2013).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 US study showed that foreign firms are less likely to engage in CSR than domestic counterparts, but when they do engage, the magnitude is far greater </w:t>
      </w:r>
      <w:r w:rsidDel="00000000" w:rsidR="00000000" w:rsidRPr="00000000">
        <w:rPr>
          <w:rtl w:val="0"/>
        </w:rPr>
        <w:t xml:space="preserve">(Blonigen and O’Fallon 2011)</w:t>
      </w:r>
      <w:r w:rsidDel="00000000" w:rsidR="00000000" w:rsidRPr="00000000">
        <w:rPr>
          <w:rtl w:val="0"/>
        </w:rPr>
        <w:t xml:space="preserve">. The reasons are not entirely clear: they could be cultural, or due to the scope of operations (foreign firms being more likely to participate in CSR at the "international" level).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relationship between FDI and foreign aid may also be an interesting determinant of CSR: if aid from a particular country increases FDI from the same country to the same host communities, incentives to engage in CSR from foreign private companies may disappear (Selaya and Sunesen 2012). In other words, why should foreign companies donate to the host country when the government of the country of origin is already giving?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Private foreign investors showed a great optimism during the International Monetary Fund meeting held in Maputo, the Mozambican city capital, in 2014 (Pfeiffer et al. 2017).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 resulted in default (Economist 2017).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carried out a systematic review of economic and public health research pertaining to FDI,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p>
    <w:bookmarkStart w:colFirst="0" w:colLast="0" w:name="30j0zll" w:id="3"/>
    <w:bookmarkEnd w:id="3"/>
    <w:p w:rsidR="00000000" w:rsidDel="00000000" w:rsidP="00000000" w:rsidRDefault="00000000" w:rsidRPr="00000000" w14:paraId="00000018">
      <w:pPr>
        <w:pStyle w:val="Heading1"/>
        <w:rPr/>
      </w:pP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sought to identify and describe sources of information regarding FDI and CSR in Mozambique, particularly in regards to malaria control and elimination. We carried out this identification process via 2 distinct approaches to understanding FDI, CSR and malaria in Mozambique:</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Identification and analysis of quantitative datasets.</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Systematic review of both grey literature (news, company websites, etc.) and academic literature.</w:t>
      </w:r>
    </w:p>
    <w:bookmarkStart w:colFirst="0" w:colLast="0" w:name="1fob9te" w:id="4"/>
    <w:bookmarkEnd w:id="4"/>
    <w:p w:rsidR="00000000" w:rsidDel="00000000" w:rsidP="00000000" w:rsidRDefault="00000000" w:rsidRPr="00000000" w14:paraId="0000001C">
      <w:pPr>
        <w:pStyle w:val="Heading2"/>
        <w:rPr/>
      </w:pPr>
      <w:r w:rsidDel="00000000" w:rsidR="00000000" w:rsidRPr="00000000">
        <w:rPr>
          <w:rtl w:val="0"/>
        </w:rPr>
        <w:t xml:space="preserve">Quantitative datasets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examined trends from multiple datasets related to FDI, CSR and malaria in Mozambique. These included the “Doing Business” data pertaining to the measurement of regulatory efficiency (WB 2016), the GADM (Gadm 2009), the Deutsche Bundesbank Data Repository for foreign exchange rate history (Bundesbank 2015), the Knoema World Data Atlas for macroeconomic trends (Knoema 2015), the World Bank data portal for information containing to net foreign inflows and FDI, USAID Demographic and Health Survey data on sociodemographics and health-related practices (WB 2017), the Instituto Nacional de Estatistica for granular data pertaining to Mozambique’s population and economic activities (INE 2017), the Institute for Health Metrics and Evaluation data pertaining to disease trends over time (IHME 2015), the International Monetary Fund’s open datasets pertaining to FDI (IMF 2003), and the United Nations Conference on Trade and Development’s data on FDI (UNCTAD 2012).</w:t>
      </w:r>
    </w:p>
    <w:bookmarkStart w:colFirst="0" w:colLast="0" w:name="3znysh7" w:id="5"/>
    <w:bookmarkEnd w:id="5"/>
    <w:p w:rsidR="00000000" w:rsidDel="00000000" w:rsidP="00000000" w:rsidRDefault="00000000" w:rsidRPr="00000000" w14:paraId="0000001E">
      <w:pPr>
        <w:pStyle w:val="Heading2"/>
        <w:rPr/>
      </w:pPr>
      <w:r w:rsidDel="00000000" w:rsidR="00000000" w:rsidRPr="00000000">
        <w:rPr>
          <w:rtl w:val="0"/>
        </w:rPr>
        <w:t xml:space="preserve">Systematic review</w:t>
      </w:r>
    </w:p>
    <w:bookmarkStart w:colFirst="0" w:colLast="0" w:name="2et92p0" w:id="6"/>
    <w:bookmarkEnd w:id="6"/>
    <w:p w:rsidR="00000000" w:rsidDel="00000000" w:rsidP="00000000" w:rsidRDefault="00000000" w:rsidRPr="00000000" w14:paraId="0000001F">
      <w:pPr>
        <w:pStyle w:val="Heading3"/>
        <w:rPr/>
      </w:pPr>
      <w:r w:rsidDel="00000000" w:rsidR="00000000" w:rsidRPr="00000000">
        <w:rPr>
          <w:rtl w:val="0"/>
        </w:rPr>
        <w:t xml:space="preserve">Grey literature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grey literature review followed known practices (Godin et al. 2015, Adams et al. (2016)), relying on internet searches and linked references. Sources include, but are not limited to UN reports on economic trends, WHO reports and brochures pertaining to health trends, company websites and brochures, newspaper articles, and think-tank white papers.</w:t>
      </w:r>
    </w:p>
    <w:p w:rsidR="00000000" w:rsidDel="00000000" w:rsidP="00000000" w:rsidRDefault="00000000" w:rsidRPr="00000000" w14:paraId="00000021">
      <w:pPr>
        <w:spacing w:after="180" w:before="180" w:lineRule="auto"/>
        <w:rPr/>
      </w:pPr>
      <w:r w:rsidDel="00000000" w:rsidR="00000000" w:rsidRPr="00000000">
        <w:rPr>
          <w:rtl w:val="0"/>
        </w:rPr>
        <w:t xml:space="preserve">We devised 2 simple search queries, and use www.google.com and www.bing.com to retrieve results. The queries were:</w:t>
      </w:r>
    </w:p>
    <w:p w:rsidR="00000000" w:rsidDel="00000000" w:rsidP="00000000" w:rsidRDefault="00000000" w:rsidRPr="00000000" w14:paraId="00000022">
      <w:pPr>
        <w:numPr>
          <w:ilvl w:val="0"/>
          <w:numId w:val="2"/>
        </w:numPr>
        <w:spacing w:after="36" w:before="36" w:lineRule="auto"/>
        <w:ind w:left="480"/>
      </w:pPr>
      <w:r w:rsidDel="00000000" w:rsidR="00000000" w:rsidRPr="00000000">
        <w:rPr>
          <w:rFonts w:ascii="Consolas" w:cs="Consolas" w:eastAsia="Consolas" w:hAnsi="Consolas"/>
          <w:sz w:val="22"/>
          <w:szCs w:val="22"/>
          <w:rtl w:val="0"/>
        </w:rPr>
        <w:t xml:space="preserve">Mozambique foreign direct investment malaria</w:t>
      </w:r>
      <w:r w:rsidDel="00000000" w:rsidR="00000000" w:rsidRPr="00000000">
        <w:rPr>
          <w:rtl w:val="0"/>
        </w:rPr>
      </w:r>
    </w:p>
    <w:p w:rsidR="00000000" w:rsidDel="00000000" w:rsidP="00000000" w:rsidRDefault="00000000" w:rsidRPr="00000000" w14:paraId="00000023">
      <w:pPr>
        <w:numPr>
          <w:ilvl w:val="0"/>
          <w:numId w:val="2"/>
        </w:numPr>
        <w:spacing w:after="36" w:before="36" w:lineRule="auto"/>
        <w:ind w:left="480"/>
      </w:pPr>
      <w:r w:rsidDel="00000000" w:rsidR="00000000" w:rsidRPr="00000000">
        <w:rPr>
          <w:rFonts w:ascii="Consolas" w:cs="Consolas" w:eastAsia="Consolas" w:hAnsi="Consolas"/>
          <w:sz w:val="22"/>
          <w:szCs w:val="22"/>
          <w:rtl w:val="0"/>
        </w:rPr>
        <w:t xml:space="preserve">Mozambique corporate social responsibility malaria</w:t>
      </w:r>
      <w:r w:rsidDel="00000000" w:rsidR="00000000" w:rsidRPr="00000000">
        <w:rPr>
          <w:rtl w:val="0"/>
        </w:rPr>
      </w:r>
    </w:p>
    <w:bookmarkStart w:colFirst="0" w:colLast="0" w:name="tyjcwt" w:id="7"/>
    <w:bookmarkEnd w:id="7"/>
    <w:p w:rsidR="00000000" w:rsidDel="00000000" w:rsidP="00000000" w:rsidRDefault="00000000" w:rsidRPr="00000000" w14:paraId="00000024">
      <w:pPr>
        <w:pStyle w:val="Heading3"/>
        <w:rPr/>
      </w:pPr>
      <w:r w:rsidDel="00000000" w:rsidR="00000000" w:rsidRPr="00000000">
        <w:rPr>
          <w:rtl w:val="0"/>
        </w:rPr>
        <w:t xml:space="preserve">Academic literature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gauge research attention and focus on FDI and CSR insofar as they affect Mozambique and malaria, four systematic searches were carried out using the EBSCOhost and NCBI/pubmed databases. Our search queries are detailed below:</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"(malaria) and (corporate social responsibility)"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results found in EBSCO)</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"(malaria) and (foreign direct investment)"</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"(mozambique) and (corporate social responsibility)"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results found in EBSCO)</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"(mozambique) and (foreign direct investment)"</w:t>
      </w:r>
      <w:r w:rsidDel="00000000" w:rsidR="00000000" w:rsidRPr="00000000">
        <w:rPr>
          <w:rtl w:val="0"/>
        </w:rPr>
      </w:r>
    </w:p>
    <w:bookmarkStart w:colFirst="0" w:colLast="0" w:name="3dy6vkm" w:id="8"/>
    <w:bookmarkEnd w:id="8"/>
    <w:p w:rsidR="00000000" w:rsidDel="00000000" w:rsidP="00000000" w:rsidRDefault="00000000" w:rsidRPr="00000000" w14:paraId="0000002A">
      <w:pPr>
        <w:pStyle w:val="Heading1"/>
        <w:rPr/>
      </w:pPr>
      <w:r w:rsidDel="00000000" w:rsidR="00000000" w:rsidRPr="00000000">
        <w:rPr>
          <w:rtl w:val="0"/>
        </w:rPr>
        <w:t xml:space="preserve">Results</w:t>
      </w:r>
    </w:p>
    <w:p w:rsidR="00000000" w:rsidDel="00000000" w:rsidP="00000000" w:rsidRDefault="00000000" w:rsidRPr="00000000" w14:paraId="0000002B">
      <w:pPr>
        <w:pStyle w:val="Heading2"/>
        <w:rPr/>
      </w:pPr>
      <w:r w:rsidDel="00000000" w:rsidR="00000000" w:rsidRPr="00000000">
        <w:rPr>
          <w:rtl w:val="0"/>
        </w:rPr>
        <w:t xml:space="preserve">Quantitative datasets pertaining to FDI and CSR in Mozambique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According to the IMF, 69 countries had foreign direct investment in Mozambique as of the end of 2015. The below chart shows the top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countries ranked by amount invested in Mozambique.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41021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Though reliable data only go as far back as 2009, the landscape of investment 20 years prior would have been both (a) far smaller and (b) primarily composed of western countries, especially given that Mozambique emerged so late from civil war (1994). As of 2014, Chinese capital had entered into 52 countries in Africa (UNHabitat 2018), and though more recent data are not available, it’s likely that this figure has grown since then. Though as of 2015, China did not figure in the top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FDI countries in Mozambique, its upward trend is notable, with approximately 1.5 million USD invested in 2010 to nearly 100 million by 2015 (a 60-fold increase). As of 2017, 3.2% of Chinese FDI flows went to Mozambique (He, Xie, and Zhu 2015). Though much of the growth is fueled by centralized State actors, an increasing number of provincial and decentralized investors are playing a role in African FDI (Gu et al. 2016).</w:t>
      </w:r>
    </w:p>
    <w:bookmarkStart w:colFirst="0" w:colLast="0" w:name="4d34og8" w:id="9"/>
    <w:bookmarkEnd w:id="9"/>
    <w:p w:rsidR="00000000" w:rsidDel="00000000" w:rsidP="00000000" w:rsidRDefault="00000000" w:rsidRPr="00000000" w14:paraId="0000002F">
      <w:pPr>
        <w:pStyle w:val="Heading3"/>
        <w:rPr/>
      </w:pPr>
      <w:r w:rsidDel="00000000" w:rsidR="00000000" w:rsidRPr="00000000">
        <w:rPr>
          <w:rtl w:val="0"/>
        </w:rPr>
        <w:t xml:space="preserve">Massive increase in FDI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 (WB 2015).</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discovery of new resources, recent growth has also been fueled by political and economic reforms which have made it easier for foreigners to do business in Mozambique. Of particular note, inflation remained relatively low (at least through 2014) (Bundesbank 2015).</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3274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massive increases in FDI have also been facilitated by dramatic decreases in the costs to import and export, as well as the costs of starting a business and registering property (WB 2016).</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46736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73600"/>
                    </a:xfrm>
                    <a:prstGeom prst="rect"/>
                    <a:ln/>
                  </pic:spPr>
                </pic:pic>
              </a:graphicData>
            </a:graphic>
          </wp:inline>
        </w:drawing>
      </w:r>
      <w:r w:rsidDel="00000000" w:rsidR="00000000" w:rsidRPr="00000000">
        <w:rPr>
          <w:rtl w:val="0"/>
        </w:rPr>
      </w:r>
    </w:p>
    <w:bookmarkStart w:colFirst="0" w:colLast="0" w:name="2s8eyo1" w:id="10"/>
    <w:bookmarkEnd w:id="10"/>
    <w:p w:rsidR="00000000" w:rsidDel="00000000" w:rsidP="00000000" w:rsidRDefault="00000000" w:rsidRPr="00000000" w14:paraId="00000035">
      <w:pPr>
        <w:pStyle w:val="Heading3"/>
        <w:rPr/>
      </w:pPr>
      <w:r w:rsidDel="00000000" w:rsidR="00000000" w:rsidRPr="00000000">
        <w:rPr>
          <w:rtl w:val="0"/>
        </w:rPr>
        <w:t xml:space="preserve">Breakdown by industry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of recent growth has come in the “extractive” industries, a term encompassing a range of industry, but in the Mozambican context largely applying to hydrocarbons and mining (INE 2015).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4279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p>
    <w:bookmarkStart w:colFirst="0" w:colLast="0" w:name="17dp8vu" w:id="11"/>
    <w:bookmarkEnd w:id="11"/>
    <w:p w:rsidR="00000000" w:rsidDel="00000000" w:rsidP="00000000" w:rsidRDefault="00000000" w:rsidRPr="00000000" w14:paraId="00000039">
      <w:pPr>
        <w:pStyle w:val="Heading3"/>
        <w:rPr/>
      </w:pPr>
      <w:r w:rsidDel="00000000" w:rsidR="00000000" w:rsidRPr="00000000">
        <w:rPr>
          <w:rtl w:val="0"/>
        </w:rPr>
        <w:t xml:space="preserve">Breakdown by region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the concentration of private investment in regional projects, growth has been similarly large in all provinces. From 2000 to 2009, GDP approximately doubled, with the greatest growth occurring in Inhambane (119% growth from 2000 to 2009), and the least robust </w:t>
      </w:r>
      <w:r w:rsidDel="00000000" w:rsidR="00000000" w:rsidRPr="00000000">
        <w:rPr>
          <w:rtl w:val="0"/>
        </w:rPr>
        <w:t xml:space="preserve">growth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Nampula (95%) (Knoema 2015).</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4775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homogeneity in growth comes somewhat as a surprise, as it defies the general developing world pattern in that growth in areas that already had high GDP (Maputo and the coastal provinces) was as robust as growth in areas with previously low GDP.</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2819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FDI is associated with CSR. Whether under the guise of CSR or not, it is noteworthy that the private sector currently does play a role in malaria control activities. According to 2011 DHS data, greater than 7 in every 1,000 households had a private company carry out indoor residual spraying (DHS 2011). And, in some clusters, the percent of houses covered by private IRS was greater than 25%.</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2157413" cy="3595688"/>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57413" cy="3595688"/>
                    </a:xfrm>
                    <a:prstGeom prst="rect"/>
                    <a:ln/>
                  </pic:spPr>
                </pic:pic>
              </a:graphicData>
            </a:graphic>
          </wp:inline>
        </w:drawing>
      </w:r>
      <w:r w:rsidDel="00000000" w:rsidR="00000000" w:rsidRPr="00000000">
        <w:rPr>
          <w:rtl w:val="0"/>
        </w:rPr>
      </w:r>
    </w:p>
    <w:bookmarkStart w:colFirst="0" w:colLast="0" w:name="3rdcrjn" w:id="12"/>
    <w:bookmarkEnd w:id="12"/>
    <w:p w:rsidR="00000000" w:rsidDel="00000000" w:rsidP="00000000" w:rsidRDefault="00000000" w:rsidRPr="00000000" w14:paraId="00000041">
      <w:pPr>
        <w:pStyle w:val="Heading2"/>
        <w:rPr/>
      </w:pPr>
      <w:r w:rsidDel="00000000" w:rsidR="00000000" w:rsidRPr="00000000">
        <w:rPr>
          <w:rtl w:val="0"/>
        </w:rPr>
        <w:t xml:space="preserve">Systematic review</w:t>
      </w:r>
    </w:p>
    <w:bookmarkStart w:colFirst="0" w:colLast="0" w:name="26in1rg" w:id="13"/>
    <w:bookmarkEnd w:id="13"/>
    <w:p w:rsidR="00000000" w:rsidDel="00000000" w:rsidP="00000000" w:rsidRDefault="00000000" w:rsidRPr="00000000" w14:paraId="00000042">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Grey literature</w:t>
      </w:r>
      <w:r w:rsidDel="00000000" w:rsidR="00000000" w:rsidRPr="00000000">
        <w:rPr>
          <w:rtl w:val="0"/>
        </w:rPr>
      </w:r>
    </w:p>
    <w:bookmarkStart w:colFirst="0" w:colLast="0" w:name="35nkun2" w:id="14"/>
    <w:bookmarkEnd w:id="14"/>
    <w:p w:rsidR="00000000" w:rsidDel="00000000" w:rsidP="00000000" w:rsidRDefault="00000000" w:rsidRPr="00000000" w14:paraId="00000043">
      <w:pPr>
        <w:pStyle w:val="Heading4"/>
        <w:rPr/>
      </w:pPr>
      <w:r w:rsidDel="00000000" w:rsidR="00000000" w:rsidRPr="00000000">
        <w:rPr>
          <w:rtl w:val="0"/>
        </w:rPr>
        <w:t xml:space="preserve">Grey literature search results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Google returned 266,000 results for the former query, and 240,000 for the latter (506,000 in total); Bing returned 4,620 and 20,900, respectively. We screened the top 50 results from both services (a total of 100 items) for both queries For the former, of the 100 items identified, 33 were identical in both search engines (yielding a total of 67 unique items); in the latter, 39 were identical (yielding a total of 61 unique items).</w:t>
      </w:r>
    </w:p>
    <w:bookmarkStart w:colFirst="0" w:colLast="0" w:name="1ksv4uv" w:id="15"/>
    <w:bookmarkEnd w:id="15"/>
    <w:p w:rsidR="00000000" w:rsidDel="00000000" w:rsidP="00000000" w:rsidRDefault="00000000" w:rsidRPr="00000000" w14:paraId="00000045">
      <w:pPr>
        <w:pStyle w:val="Heading4"/>
        <w:rPr/>
      </w:pPr>
      <w:r w:rsidDel="00000000" w:rsidR="00000000" w:rsidRPr="00000000">
        <w:rPr>
          <w:rtl w:val="0"/>
        </w:rPr>
        <w:t xml:space="preserve">Grey literature synthesis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grey literature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Firms with CSR activities are often large and foreign. Among the largest “key players” in Mozambican CSR are Coca-Cola, British Petroleum and Colgate-Palmolive. State conglomerates, such as Águas de Moçambique and Electricidade de Moçambique, also participate in CSR activities (Compact 2007). Large communications firms, such as Vodacom and MCEL, and banks (BIM and BCI) have a CSR component, but generally focus on culture, environment and sport, avoiding activities which could either complement or conflict with the health sector. Much of CSR in Mozambique is basic </w:t>
      </w:r>
      <w:r w:rsidDel="00000000" w:rsidR="00000000" w:rsidRPr="00000000">
        <w:rPr>
          <w:rtl w:val="0"/>
        </w:rPr>
        <w:t xml:space="preserve">services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only, a phenomenon Kaufmann described as “CSR towards compliance” as opposed to “beyond compliance” (Kaufmann and Simons-Kaufmann 2015).</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Among major foreign companies, those operating in extraction - particularly mining - appear to be the most involved with malaria. BHP Billiton has been active in vector control support to the governments of Mozambique, Swaziland, and South Africa, particularly in the early 2000s (BHP 2014). Kropfmuhl AG and Vale, also mining companies, have carried out CSR related to both community development and malaria control in Northern Mozambique (Kaufmann and Simons-Kaufmann 2015).</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CSR-funded activities are focused on education, community development, women’s rights and entrepreneurship. According to a UN poll, none of the country’s largest firms invest directly in malaria-related CSR activities (Compact 2007). 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 (IHME 2015), malaria control’s lack of representation among core CSR activities is a notable absence. One important exception is the Nando’s-lead Goodbye Malaria Trust, an umbrella organization which </w:t>
      </w:r>
      <w:r w:rsidDel="00000000" w:rsidR="00000000" w:rsidRPr="00000000">
        <w:rPr>
          <w:rtl w:val="0"/>
        </w:rPr>
        <w:t xml:space="preserve">includes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development impact bond, the Goodbye Malaria initiative, and partnerships with several other foreign firms operating in Mozambique.</w:t>
      </w:r>
    </w:p>
    <w:bookmarkStart w:colFirst="0" w:colLast="0" w:name="44sinio" w:id="16"/>
    <w:bookmarkEnd w:id="16"/>
    <w:p w:rsidR="00000000" w:rsidDel="00000000" w:rsidP="00000000" w:rsidRDefault="00000000" w:rsidRPr="00000000" w14:paraId="0000004B">
      <w:pPr>
        <w:pStyle w:val="Heading3"/>
        <w:rPr/>
      </w:pPr>
      <w:r w:rsidDel="00000000" w:rsidR="00000000" w:rsidRPr="00000000">
        <w:rPr>
          <w:rtl w:val="0"/>
        </w:rPr>
        <w:t xml:space="preserve">Academic literature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search is outlined in the below PRISMA-based diagram.</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943600" cy="45085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6 papers flagged as “irrelevant” were classified as such when the abstract revealed that the terms in question were not directly related with the paper.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below table shows the results retrieved for the systematic review. Full article information is in the bibliography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tbl>
      <w:tblPr>
        <w:tblStyle w:val="Table1"/>
        <w:tblW w:w="9360.0" w:type="dxa"/>
        <w:jc w:val="left"/>
        <w:tblInd w:w="14.399999999999999"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9.2079207920792"/>
        <w:gridCol w:w="659.009900990099"/>
        <w:gridCol w:w="2697.8217821782173"/>
        <w:gridCol w:w="2090.29702970297"/>
        <w:gridCol w:w="2553.6633663366338"/>
        <w:tblGridChange w:id="0">
          <w:tblGrid>
            <w:gridCol w:w="1359.2079207920792"/>
            <w:gridCol w:w="659.009900990099"/>
            <w:gridCol w:w="2697.8217821782173"/>
            <w:gridCol w:w="2090.29702970297"/>
            <w:gridCol w:w="2553.6633663366338"/>
          </w:tblGrid>
        </w:tblGridChange>
      </w:tblGrid>
      <w:tr>
        <w:trPr>
          <w:trHeight w:val="20" w:hRule="atLeast"/>
        </w:trPr>
        <w:tc>
          <w:tcPr>
            <w:tcBorders>
              <w:top w:color="000000" w:space="0" w:sz="0" w:val="nil"/>
              <w:left w:color="000000" w:space="0" w:sz="0" w:val="nil"/>
              <w:bottom w:color="dddddd" w:space="0" w:sz="12" w:val="single"/>
              <w:right w:color="000000" w:space="0" w:sz="0" w:val="nil"/>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50">
            <w:pPr>
              <w:spacing w:after="300" w:before="36" w:line="342.8568" w:lineRule="auto"/>
              <w:jc w:val="cente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Source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51">
            <w:pPr>
              <w:spacing w:after="300" w:before="36" w:line="342.8568" w:lineRule="auto"/>
              <w:jc w:val="cente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Year</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52">
            <w:pPr>
              <w:spacing w:after="300" w:before="36" w:line="342.8568" w:lineRule="auto"/>
              <w:jc w:val="cente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Title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53">
            <w:pPr>
              <w:spacing w:after="300" w:before="36" w:line="342.8568" w:lineRule="auto"/>
              <w:jc w:val="cente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Type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54">
            <w:pPr>
              <w:spacing w:after="300" w:before="36" w:line="342.8568" w:lineRule="auto"/>
              <w:jc w:val="cente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Author</w:t>
            </w:r>
            <w:r w:rsidDel="00000000" w:rsidR="00000000" w:rsidRPr="00000000">
              <w:rPr>
                <w:rtl w:val="0"/>
              </w:rPr>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6">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2009</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7">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Public Governance, H…</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8">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9">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Azemar,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A">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B">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2014</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C">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 Critical Review of…</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D">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E">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Mahembe,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F">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0">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2000</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1">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Administrative barri…</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2">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3">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Emery,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4">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2012</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6">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Attracting Foreign 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7">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8">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Tembe,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9">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A">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2013</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B">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Contemporary Process…</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C">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D">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German,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E">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F">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2012</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0">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Corruption and Multi…</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1">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2">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Grande,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3">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4">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2014</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Determining the Natu…</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6">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7">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Winkler,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8">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9">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1999</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A">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Foreign Direct Inves…</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B">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C">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Morisset,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D">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E">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2014</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F">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Growth, Capital Accu…</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0">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1">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Castel-Branco,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2">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3">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2007</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4">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Linkage Between fore…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6">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Wilson,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7">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8">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2012</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9">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Mining FDI and Infra…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A">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B">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Robbins,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C">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D">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2013</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E">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Potential and actual…</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F">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0">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Winkler,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1">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2">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2004</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3">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Regional integration…</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4">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Goldstein,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6">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7">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2014</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8">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Sector Case Study: M…</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9">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A">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Barnard,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B">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C">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2011</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D">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Strategic Privatisat…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E">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F">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Buur,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0">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1">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2016</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2">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Economics and Po…</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3">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4">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Hansen,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6">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2002</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7">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Role of FDI in 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8">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9">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Bjorvatn,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A">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B">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2010</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C">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Uncovering Trends in…</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D">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E">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Warren-Rodriguez,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F">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EBSCOhost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0">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2014</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1">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Sector Case Study: 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2">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3">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Barnard,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4">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2004</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6">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Community health out…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7">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CSR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8">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Singer,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9">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A">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2014</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B">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Public-private partn…</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C">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CSR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D">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Hutton,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E">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F">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2016</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0">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Examples of coupled …</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1">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CSR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2">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Singer,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3">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4">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2007</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Feasibility of water…</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6">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CSR | Mozambique</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7">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Tang,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8">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9">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2002</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A">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economic impact …</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B">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C">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Mills,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D">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E">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2004</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F">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economic burden …</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0">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1">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Russell,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2">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3">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2012</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4">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economic benefit…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6">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Feachem,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7">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8">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2012</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9">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Global health fundin…</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A">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B">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D’Agostino,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C">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D">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2015</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E">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Tracking Global Fund…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F">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0">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Huntington, et al</w:t>
            </w:r>
          </w:p>
        </w:tc>
      </w:tr>
      <w:tr>
        <w:trPr>
          <w:trHeight w:val="20" w:hRule="atLeast"/>
        </w:trPr>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1">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Pubmed</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2">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2016</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3">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Investing for Impact…</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4">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FDI | Malaria</w:t>
            </w:r>
          </w:p>
        </w:tc>
        <w:tc>
          <w:tcPr>
            <w:tcBorders>
              <w:top w:color="dddddd" w:space="0" w:sz="6" w:val="single"/>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5">
            <w:pPr>
              <w:spacing w:after="300" w:before="36" w:line="342.8568"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Zorzi, et al</w:t>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below chart shows our systematically retried publications by date. What is most striking is how little academic attention has been given to CSR, with none given to the intersection of CSR and malaria.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29591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bookmarkStart w:colFirst="0" w:colLast="0" w:name="2jxsxqh" w:id="17"/>
    <w:bookmarkEnd w:id="17"/>
    <w:p w:rsidR="00000000" w:rsidDel="00000000" w:rsidP="00000000" w:rsidRDefault="00000000" w:rsidRPr="00000000" w14:paraId="000000EB">
      <w:pPr>
        <w:pStyle w:val="Heading3"/>
        <w:rPr/>
      </w:pPr>
      <w:r w:rsidDel="00000000" w:rsidR="00000000" w:rsidRPr="00000000">
        <w:rPr>
          <w:rtl w:val="0"/>
        </w:rPr>
        <w:t xml:space="preserve">Qualitative synthesis of systematic review of academic literature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Mozambique has a unique social and economic system, which is particularly attractive to foreign investment. The Mozambican economy is “oriented to incentivize large-scale FDI projects” (Robbins and Perkins 2012). Land distribution, for example, despite being igualitarian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 juro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been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 facto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aimed at satisfying the interests of large foreign firms (German, Schoneveld, and Mwangi 2013). In extractive industries, and particular the sugar industry, the state has gone so far as to encourage unprofitable entreprise by propping up an internal market so as to keep foreign inflows of cash from drying out, a process described as a “mediating bureaucracy” (Buur, Tembe, and Baloi 2012). Another part of the attraction of FDI to Mozambique is the extent to which the state and society, both formally and informally, subsidize the cost of labor by allowing for below subsistence wages.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one view, the last two decades of economic growth are largely irrelevant to the well-being of Mozambicans due to the “porous and extractive” nature of FDI (Castel-Branco 2014). In other words, since both investment and profit are largely external to the Mozambican economy and society, “positive spillovers” into local firms are few and far between (Winkler 2013).</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CSR is one way of offsetting the trend, and its potential for mutually beneficial effects is high, particularly when its resources target malaria control. Per one analysis, malaria elimination in an endemic country like Mozambique would lead to a 16% increase in FDI (Azemar and Desbordes 2009). The possibility of re-directing resource rents to socially beneficial ends is </w:t>
      </w:r>
      <w:r w:rsidDel="00000000" w:rsidR="00000000" w:rsidRPr="00000000">
        <w:rPr>
          <w:rtl w:val="0"/>
        </w:rPr>
        <w:t xml:space="preserve">acknowledged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multiple authors (Robbins and Perkins 2012, Castel-Branco (2014)).</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the </w:t>
      </w:r>
      <w:r w:rsidDel="00000000" w:rsidR="00000000" w:rsidRPr="00000000">
        <w:rPr>
          <w:rtl w:val="0"/>
        </w:rPr>
        <w:t xml:space="preserve">redirection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summary, Mozambique’s high ratio of FDI to GDP and general allowance of “porous” foreign investment represents an opportunity for scaling up the private sector’s engagement with public health, as a means to offset the lack of social benefits that traditional FDI has entailed. A coercive (tax-based) approach to scaling up this engagement may lead to a </w:t>
      </w:r>
      <w:r w:rsidDel="00000000" w:rsidR="00000000" w:rsidRPr="00000000">
        <w:rPr>
          <w:rtl w:val="0"/>
        </w:rPr>
        <w:t xml:space="preserve">withdrawal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FDI from the country. The alternative, an increase in CSR, is a possible route for creating synergies, </w:t>
      </w:r>
      <w:r w:rsidDel="00000000" w:rsidR="00000000" w:rsidRPr="00000000">
        <w:rPr>
          <w:rtl w:val="0"/>
        </w:rPr>
        <w:t xml:space="preserve">particularly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case of malaria elimination.</w:t>
      </w:r>
    </w:p>
    <w:bookmarkStart w:colFirst="0" w:colLast="0" w:name="z337ya" w:id="18"/>
    <w:bookmarkEnd w:id="18"/>
    <w:p w:rsidR="00000000" w:rsidDel="00000000" w:rsidP="00000000" w:rsidRDefault="00000000" w:rsidRPr="00000000" w14:paraId="000000F2">
      <w:pPr>
        <w:pStyle w:val="Heading1"/>
        <w:rPr/>
      </w:pPr>
      <w:r w:rsidDel="00000000" w:rsidR="00000000" w:rsidRPr="00000000">
        <w:rPr>
          <w:rtl w:val="0"/>
        </w:rPr>
        <w:t xml:space="preserve">Discussion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intensity of CSR activity seems to closely track FDI, but generally avoids malaria control. The few malaria-related CSR projects in recent years has come in large, “mega-projects” whose well-publicized malaria abatement activities are profit-driven (Mouzin and al. 2011) or whose primary aim is not profit-related (Han 2015). This should come as no surprise given that “mega-projects” make up a majority of FDI to Mozambique (albeit declining slightly in recent years) (UNCTAD 2012). Though the former is often portrayed as a “win-win” for business and public health, the latter also offers tangible benefits for private industry, and should be understood as operating under the same conditions and with the same motivations. To the extent that most CSR activity has avoided the health sector (including malaria) in favor of cultural, environmental, education and more general “development” activities, it is reasonable to assume that this may be due to the perceived costs of malaria control, lack of perceived PR benefits, the government and NGO’s predominant role in the area, as well as the “opt-in” nature and privacy/legal issues generally related to engaging in health-related campaigns.</w:t>
      </w:r>
    </w:p>
    <w:bookmarkStart w:colFirst="0" w:colLast="0" w:name="3j2qqm3" w:id="19"/>
    <w:bookmarkEnd w:id="19"/>
    <w:p w:rsidR="00000000" w:rsidDel="00000000" w:rsidP="00000000" w:rsidRDefault="00000000" w:rsidRPr="00000000" w14:paraId="000000F4">
      <w:pPr>
        <w:pStyle w:val="Heading2"/>
        <w:rPr/>
      </w:pPr>
      <w:r w:rsidDel="00000000" w:rsidR="00000000" w:rsidRPr="00000000">
        <w:rPr>
          <w:rtl w:val="0"/>
        </w:rPr>
        <w:t xml:space="preserve">Scaling up malaria control through CSR: opportunity and risk</w:t>
      </w:r>
    </w:p>
    <w:bookmarkStart w:colFirst="0" w:colLast="0" w:name="1y810tw" w:id="20"/>
    <w:bookmarkEnd w:id="20"/>
    <w:p w:rsidR="00000000" w:rsidDel="00000000" w:rsidP="00000000" w:rsidRDefault="00000000" w:rsidRPr="00000000" w14:paraId="000000F5">
      <w:pPr>
        <w:pStyle w:val="Heading3"/>
        <w:rPr/>
      </w:pPr>
      <w:r w:rsidDel="00000000" w:rsidR="00000000" w:rsidRPr="00000000">
        <w:rPr>
          <w:rtl w:val="0"/>
        </w:rPr>
        <w:t xml:space="preserve">Opportunity</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w:t>
      </w:r>
      <w:r w:rsidDel="00000000" w:rsidR="00000000" w:rsidRPr="00000000">
        <w:rPr>
          <w:rtl w:val="0"/>
        </w:rPr>
        <w:t xml:space="preserve">philanthropic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p>
    <w:bookmarkStart w:colFirst="0" w:colLast="0" w:name="4i7ojhp" w:id="21"/>
    <w:bookmarkEnd w:id="21"/>
    <w:p w:rsidR="00000000" w:rsidDel="00000000" w:rsidP="00000000" w:rsidRDefault="00000000" w:rsidRPr="00000000" w14:paraId="000000F7">
      <w:pPr>
        <w:pStyle w:val="Heading3"/>
        <w:rPr/>
      </w:pPr>
      <w:r w:rsidDel="00000000" w:rsidR="00000000" w:rsidRPr="00000000">
        <w:rPr>
          <w:rtl w:val="0"/>
        </w:rPr>
        <w:t xml:space="preserve">Risk</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w:t>
      </w:r>
      <w:r w:rsidDel="00000000" w:rsidR="00000000" w:rsidRPr="00000000">
        <w:rPr>
          <w:rtl w:val="0"/>
        </w:rPr>
        <w:t xml:space="preserve">corresponding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redirection of funds towards the financing of other health areas), then a situation would be created in which the public sector had essentially divested from a public good. This would be unwise and dangerous.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secondary risk is that increased private sector involvement in malaria control could cause a decrease in public sector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competence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 The methods by which private initiatives could contribute to malaria elimination and control while at the same time only “complementing” (rather than “substituting”) State activities is not entirely clear, and would require significant organization (Kaufmann and Simons-Kaufmann 2015).</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 with </w:t>
      </w:r>
      <w:r w:rsidDel="00000000" w:rsidR="00000000" w:rsidRPr="00000000">
        <w:rPr>
          <w:rtl w:val="0"/>
        </w:rPr>
        <w:t xml:space="preserve">inequity implications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xcytpi" w:id="22"/>
    <w:bookmarkEnd w:id="22"/>
    <w:p w:rsidR="00000000" w:rsidDel="00000000" w:rsidP="00000000" w:rsidRDefault="00000000" w:rsidRPr="00000000" w14:paraId="000000FC">
      <w:pPr>
        <w:pStyle w:val="Heading1"/>
        <w:rPr/>
      </w:pPr>
      <w:r w:rsidDel="00000000" w:rsidR="00000000" w:rsidRPr="00000000">
        <w:rPr>
          <w:rtl w:val="0"/>
        </w:rPr>
        <w:t xml:space="preserve">Conclusion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and go beyond the perception of superficial CSR which doesn’t address core social problems (ie, “green washing”) (Kaufmann and Simons-Kaufmann 2015). This “win-win” for the public and private sectors represents a rare opportunity, which deserves more discourse, research and experimentation.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1"/>
        <w:rPr/>
      </w:pPr>
      <w:r w:rsidDel="00000000" w:rsidR="00000000" w:rsidRPr="00000000">
        <w:br w:type="page"/>
      </w:r>
      <w:r w:rsidDel="00000000" w:rsidR="00000000" w:rsidRPr="00000000">
        <w:rPr>
          <w:rtl w:val="0"/>
        </w:rPr>
      </w:r>
    </w:p>
    <w:bookmarkStart w:colFirst="0" w:colLast="0" w:name="1ci93xb" w:id="23"/>
    <w:bookmarkEnd w:id="23"/>
    <w:p w:rsidR="00000000" w:rsidDel="00000000" w:rsidP="00000000" w:rsidRDefault="00000000" w:rsidRPr="00000000" w14:paraId="00000101">
      <w:pPr>
        <w:pStyle w:val="Heading1"/>
        <w:rPr/>
      </w:pPr>
      <w:r w:rsidDel="00000000" w:rsidR="00000000" w:rsidRPr="00000000">
        <w:rPr>
          <w:rtl w:val="0"/>
        </w:rPr>
        <w:t xml:space="preserve">References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Adams, Jean, Frances C. Hillier-Brown, Helen J. Moore, Amelia A. Lake, Vera Araujo-Soares, Martin White, and Carolyn Summerbell. 2016. “Searching and Synthesising ‘Grey Literature’ and ‘Grey Information’ in Public Health: Critical Reflections on Three Case Studies.”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Systematic Reviews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(1). Springer Nature. doi:</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10.1186/s13643-016-0337-y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Alfaro, Laura, Areendam Chanda, Sebnem Kalemli-Ozcan, and Selin Sayek. 2006. “How Does Foreign Direct Investment Promote Economic Growth? Exploring the Effects of Financial Markets on Linkages,” September. National Bureau of Economic Research. doi:</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10.3386/w12522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Almfraji, Mohammad Amin, and Mahmoud Khalid Almsafir. 2014. “Foreign Direct Investment and Economic Growth Literature Review from 1994 to 2012.”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Procedia - Social and Behavioral Sciences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129 (May). Elsevier BV: 206–13. doi:</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10.1016/j.sbspro.2014.03.668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Asante, Kwaku P, Charles Zandoh, Dominic B Dery, Charles Brown, George Adjei, Yaw Antwi-Dadzie, Martin Adjuik, et al. 2011. “Malaria Epidemiology in the Ahafo Area of Ghana.”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Malaria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(1). Springer Nature: 211. doi:</w:t>
      </w: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10.1186/1475-2875-10-211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Asiedu, Elizabeth. 2005. “Foreign Direct Investment in Africa: The Role of Natural Resources, Market Size, Government Policy, Institutions and Political Instability.”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SSRN Electronic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Elsevier BV. doi:</w:t>
      </w: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10.2139/ssrn.717361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Azemar, C., and R. Desbordes. 2009. “Public Governance, Health and Foreign Direct Investment in Sub-Saharan Africa.”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African Economies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 (4). Oxford University Press (OUP): 667–709. doi:</w:t>
      </w:r>
      <w:hyperlink r:id="rId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10.1093/jae/ejn028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BHP. 2014. “BHP Billiton Case Study: Malaria.” </w:t>
      </w:r>
      <w:hyperlink r:id="rId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https://www.bhp.com/-/media/bhp/documents/investors/reports/2004/norvatispresentation.pdf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Blonigen, Bruce, and Cheyney O’Fallon. 2011. “Foreign Firms and Local Communities.” Working Paper 17282. Working Paper Series. National Bureau of Economic Research. doi:</w:t>
      </w:r>
      <w:hyperlink r:id="rId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10.3386/w17282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Bloom, David, and David Canning. 2008. “Population Health and Economic Growth,” 1–25.</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Brundtland, Gro Harlem. 1999. “WHO on Health and Economic Productivity” 25 (2): 396–402.</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Bundesbank. 2015. “Exchange Rates for the Us Dollar in Mozambique / Usd 1 = Mzn.” </w:t>
      </w:r>
      <w:hyperlink r:id="rId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https://www.quandl.com/data/BUNDESBANK/BBEX3_M_MZN_USD_CA_AC_A01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Burns, Darren K., Andrew P. Jones, Yevgeniy Goryakin, and Marc Suhrcke. 2017. “Is Foreign Direct Investment Good for Health in Low and Middle Income Countries? An Instrumental Variable Approach.”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Science &amp; Medicine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181 (May). Elsevier BV: 74–82. doi:</w:t>
      </w:r>
      <w:hyperlink r:id="rId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10.1016/j.socscimed.2017.03.054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Buur, Lars, Carlota Mondlane Tembe, and Obede Baloi. 2012. “The White Gold: The Role of Government and State in Rehabilitating the Sugar Industry in Mozambique.”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Development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48 (3). Informa UK Limited: 349–62. doi:</w:t>
      </w: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10.1080/00220388.2011.635200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Castel-Branco, Carlos Nuno. 2014. “Growth, Capital Accumulation and Economic Porosity in Mozambique: Social Losses, Private Gains.”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 of African Political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41 (sup1). Informa UK Limited: S26–S48. doi:</w:t>
      </w:r>
      <w:hyperlink r:id="rId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10.1080/03056244.2014.976363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Compact, U N Global. 2007. “Corporate Social Responsibility: Country Report Mozambique.” </w:t>
      </w: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http://www.undp.org/content/dam/mozambique/docs/Poverty/UNDP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DHS. 2011. “USAID.” </w:t>
      </w: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http://dhsprogram.com/what-we-do/survey/survey-display-362.cfm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Economist. 2017. “Mozambique’s Default: Mozambique Fails to Pay Its Debts.”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Economist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January. Economist. </w:t>
      </w: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https://www.economist.com/news/middle-east-and-africa/21715030-mozambique-fails-pay-its-debts-mozambiques-default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Feenstra, Robert, and Gordon Hanson. 1997. “Foreign Direct Investment and Relative Wages: Evidence from Mexico’s Maquiladoras.”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International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42 (3-4): 371–93. </w:t>
      </w: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https://EconPapers.repec.org/RePEc:eee:inecon:v:42:y:1997:i:3-4:p:371-393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Friedman, Milton. 1970. “The Social Responsibility of Business Is to Increase Its Profits.”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Corporate Ethics and Corporate Governance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Springer Berlin Heidelberg, 173–78. doi:</w:t>
      </w:r>
      <w:hyperlink r:id="rId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10.1007/978-3-540-70818-6_14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Gadm. 2009. “GADM Database of Global Administrative Areas Version 1.0.”</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German, Laura, George Schoneveld, and Esther Mwangi. 2013. “Contemporary Processes of Large-Scale Land Acquisition in Sub-Saharan Africa: Legal Deficiency or Elite Capture of the Rule of Law?”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World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48 (August). Elsevier BV: 1–18. doi:</w:t>
      </w:r>
      <w:hyperlink r:id="rId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10.1016/j.worlddev.2013.03.006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Godin, Katelyn, Jackie Stapleton, Sharon I. Kirkpatrick, Rhona M. Hanning, and Scott T. Leatherdale. 2015. “Applying Systematic Review Search Methods to the Grey Literature: A Case Study Examining Guidelines for School-Based Breakfast Programs in Canada.”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Systematic Reviews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(1). Springer Nature. doi:</w:t>
      </w:r>
      <w:hyperlink r:id="rId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10.1186/s13643-015-0125-0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González, Raquel, Orvalho J. Augusto, Khátia Munguambe, Charlotte Pierrat, Elpidia N. Pedro, Charfudin Sacoor, Elisa De Lazzari, et al. 2015. “HIV Incidence and Spatial Clustering in a Rural Area of Southern Mozambique.” Edited by Jean KEditor Carr.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PLOS 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(7). Public Library of Science (PLoS): e0132053. doi:</w:t>
      </w:r>
      <w:hyperlink r:id="rId3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10.1371/journal.pone.0132053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 Jing, Chuanhong Zhang, Alcides Vaz, and Langton Mukwereza. 2016. “Chinese State Capitalism? Rethinking the Role of the State and Business in Chinese Development Cooperation in Africa.”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World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81 (May). Elsevier BV: 24–34. doi:</w:t>
      </w:r>
      <w:hyperlink r:id="rId3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10.1016/j.worlddev.2016.01.001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 Lily. 2015. “Malaria in Mozambique: trialling payment by results.” </w:t>
      </w:r>
      <w:hyperlink r:id="rId3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http://www.theguardian.com/global-development-professionals-network/2014/mar/31/malaria-control-payment-by-results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Canfei, Xiuzhen Xie, and Shengjun Zhu. 2015. “Going Global: Understanding China’s Outward Foreign Direct Investment from Motivational and Institutional Perspectives.”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Post-Communist Economies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 (4). Informa UK Limited: 448–71. doi:</w:t>
      </w:r>
      <w:hyperlink r:id="rId3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10.1080/14631377.2015.1084716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IHME. 2015. “GBD Prifle: Mozambique.” </w:t>
      </w:r>
      <w:hyperlink r:id="rId3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www.medbox.org/gbd-profile-mozambique/download.pdf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IMF. 2003. “International Monetary Fund’s Foreign Direct Investment Trends and Statistics.” </w:t>
      </w:r>
      <w:hyperlink r:id="rId3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https://www.imf.org/external/np/sta/fdi/eng/2003/102803.htm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INE. 2015. “Economic Statistics.” </w:t>
      </w:r>
      <w:hyperlink r:id="rId4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http://www.ine.gov.mz/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2017. “Instituto Nacional de Estatistica.” </w:t>
      </w:r>
      <w:hyperlink r:id="rId4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http://www.ine.gov.mz/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Kaufmann, Friedrich, and Claudia Simons-Kaufmann. 2015. “Corporate Social Responsibility in Mozambique.”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CSR, Sustainability, Ethics &amp; Governance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December. Springer International Publishing, 31–50. doi:</w:t>
      </w:r>
      <w:hyperlink r:id="rId4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10.1007/978-3-319-26668-8_2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Knoema. 2015. “GDP of Mozambique by Region, Province and Country.” </w:t>
      </w:r>
      <w:hyperlink r:id="rId4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http://knoema.com/atlas/Mozambique/ranks/GDP-at-Constant-Prices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Moonasar, Devanand, Rajendra Maharaj, Simon Kunene, Baltazar Candrinho, Francisco Saute, Nyasatu Ntshalintshali, and Natashia Morris. 2016. “Towards Malaria Elimination in the Mosaswa (Mozambique, South Africa and Swaziland) Region.”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Malaria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 (1). Springer Nature. doi:</w:t>
      </w:r>
      <w:hyperlink r:id="rId4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10.1186/s12936-016-1470-8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Mouzin, Eric, and Et al. 2011. “Business Investing in Malaria Control: Economic Returns and a Healthy Workforce for Africa.”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Progress &amp; Impact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6.</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Nonvignon, Justice, Genevieve Cecilia Aryeetey, Keziah L. Malm, Samuel Agyei Agyemang, Vivian N. A. Aubyn, Nana Yaw Peprah, Constance N. Bart-Plange, and Moses Aikins. 2016. “Economic Burden of Malaria on Businesses in Ghana: A Case for Private Sector Investment in Malaria Control.”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Malaria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 (1). Springer Nature. doi:</w:t>
      </w:r>
      <w:hyperlink r:id="rId4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10.1186/s12936-016-1506-0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Ortega, María Isabel, Samantha Sabo, Patricia Aranda Gallegos, Jill Eileen Guernsey De Zapien, Antonio Zapien, Gloria Elena Portillo Abril, and Cecilia Rosales. 2016. “Agribusiness, Corporate Social Responsibility, and Health of Agricultural Migrant Workers.”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Frontiers in Public Health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(March). Frontiers Media SA. doi:</w:t>
      </w:r>
      <w:hyperlink r:id="rId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10.3389/fpubh.2016.00054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Pazienza, Pasquale. 2015. “The Relationship Between Co2 and Foreign Direct Investment in the Agriculture and Fishing Sector of Oecd Countries: Evidence and Policy Considerations.”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Intellectual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 (1). Elsevier BV: 55–66. doi:</w:t>
      </w:r>
      <w:hyperlink r:id="rId4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10.1016/j.intele.2015.08.001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Pfeiffer, James, Sarah Gimbel, Baltazar Chilundo, Stephen Gloyd, Rachel Chapman, and Kenneth Sherr. 2017. “Austerity and the ‘Sector-Wide Approach’ to Health: The Mozambique Experience.”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Social Science &amp; Medicine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187 (August). Elsevier BV: 208–16. doi:</w:t>
      </w:r>
      <w:hyperlink r:id="rId4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10.1016/j.socscimed.2017.05.008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Porter, KE, and MR Kramer. 2002. “The Competitive Advantage of Corporate Philanthropy.”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Harvard Business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80. Harvard University Press. doi:</w:t>
      </w:r>
      <w:hyperlink r:id="rId4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10.1186/s12936-016-1506-0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Robbins, Glen, and David Perkins. 2012. “MINING FDI AND INFRASTRUCTURE DEVELOPMENT ON AFRICAS EAST COAST: EXAMINING THE RECENT EXPERIENCE OF TANZANIA AND MOZAMBIQUE.”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International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 (2). Wiley-Blackwell: 220–36. doi:</w:t>
      </w:r>
      <w:hyperlink r:id="rId5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10.1002/jid.2817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Rogers, Lina. 2014. “Natural resources boom sustaining growth in Mozambique.” </w:t>
      </w:r>
      <w:hyperlink r:id="rId5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http://www.abo.net/oilportal/topic/view.do?contentId=2195109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Selaya, Pablo, and Eva Rytter Sunesen. 2012. “Does Foreign Aid Increase Foreign Direct Investment?”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World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(11). Elsevier BV: 2155–76. doi:</w:t>
      </w:r>
      <w:hyperlink r:id="rId5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10.1016/j.worlddev.2012.06.001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Shahbaz, Muhammad, Samia Nasreen, Faisal Abbas, and Omri Anis. 2015. “Does Foreign Direct Investment Impede Environmental Quality in High-, Middle-, and Low-Income Countries?”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Energy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51 (September). Elsevier BV: 275–87. doi:</w:t>
      </w:r>
      <w:hyperlink r:id="rId5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10.1016/j.eneco.2015.06.014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Sheela, A.M., A. Ghermandi, P. Vineetha, R.V. Sheeja, J. Justus, and K. Ajayakrishna. 2017. “Assessment of Relation of Land Use Characteristics with Vector-Borne Diseases in Tropical Areas.”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Land Use Policy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63 (April). Elsevier BV: 369–80. doi:</w:t>
      </w:r>
      <w:hyperlink r:id="rId5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10.1016/j.landusepol.2017.01.047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Sutton, John. 2014.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MAPA Empresarial de Moçambique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International Growth Centre. </w:t>
      </w:r>
      <w:hyperlink r:id="rId5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http://personal.lse.ac.uk/sutton/mozambique_portuguese_edn_updated_version_web.pdf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UNCTAD. 2012.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Investment Policy Review: Mozambique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United Nations.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UNHabitat. 2018.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State of African Cities 2018, The geography of African investment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United Nations.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WB. 2015. “Foreign Direct Investment, Net Inflows (Bop, Current Us$).” </w:t>
      </w:r>
      <w:hyperlink r:id="rId5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http://data.worldbank.org/indicator/BX.KLT.DINV.CD.WD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2016.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Doing Business 2016: Measuring Regulatory Quality and Efficiency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World Bank. </w:t>
      </w:r>
      <w:hyperlink r:id="rId5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http://www.doingbusiness.org/~/media/GIAWB/Doing%20Business/Documents/Annual-Reports/English/DB16-Chapters/DB16-Mini-Book.pdf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2017. “World Bank Open Data.” </w:t>
      </w:r>
      <w:hyperlink r:id="rId5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https://data.worldbank.org/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White, Nicholas J, Sasithon Pukrittayakamee, Tran Tinh Hien, M Abul Faiz, Olugbenga A Mokuolu, and Arjen M Dondorp. 2014. “Malaria.”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Lancet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383 (9918). Elsevier BV: 723–35. doi:</w:t>
      </w:r>
      <w:hyperlink r:id="rId5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10.1016/s0140-6736(13)60024-0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 2016. “World Malaria Report.” </w:t>
      </w:r>
      <w:hyperlink r:id="rId6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http://apps.who.int/iris/bitstream/10665/252038/1/9789241511711-eng.pdf?ua=1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Williams, Brian G., Eleanor Gouws, Pierre Somse, Mpho Mmelesi, Chibwe Lwamba, Trouble Chikoko, Erika Fazito, et al. 2015. “Epidemiological Trends for Hiv in Southern Africa: Implications for Reaching the Elimination Targets.”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Current HIV/AIDS Reports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 (2). Springer Nature: 196–206. doi:</w:t>
      </w:r>
      <w:hyperlink r:id="rId6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10.1007/s11904-015-0264-x</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Winkler, Deborah. 2013. “Potential and Actual FDI Spillovers in Global Value Chains.”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Zhu, Yan, Li-Yun Sun, and Alicia S. M. Leung. 2013. “Corporate Social Responsibility, Firm Reputation, and Firm Performance: The Role of Ethical Leadership.”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Asia Pacific Journal of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(4). Springer Nature: 925–47. doi:</w:t>
      </w:r>
      <w:hyperlink r:id="rId6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10.1007/s10490-013-9369-1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www.ine.gov.mz/" TargetMode="External"/><Relationship Id="rId42" Type="http://schemas.openxmlformats.org/officeDocument/2006/relationships/hyperlink" Target="https://doi.org/10.1007/978-3-319-26668-8_2" TargetMode="External"/><Relationship Id="rId41" Type="http://schemas.openxmlformats.org/officeDocument/2006/relationships/hyperlink" Target="http://www.ine.gov.mz/" TargetMode="External"/><Relationship Id="rId44" Type="http://schemas.openxmlformats.org/officeDocument/2006/relationships/hyperlink" Target="https://doi.org/10.1186/s12936-016-1470-8" TargetMode="External"/><Relationship Id="rId43" Type="http://schemas.openxmlformats.org/officeDocument/2006/relationships/hyperlink" Target="http://knoema.com/atlas/Mozambique/ranks/GDP-at-Constant-Prices" TargetMode="External"/><Relationship Id="rId46" Type="http://schemas.openxmlformats.org/officeDocument/2006/relationships/hyperlink" Target="https://doi.org/10.3389/fpubh.2016.00054" TargetMode="External"/><Relationship Id="rId45" Type="http://schemas.openxmlformats.org/officeDocument/2006/relationships/hyperlink" Target="https://doi.org/10.1186/s12936-016-150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doi.org/10.1016/j.socscimed.2017.05.008" TargetMode="External"/><Relationship Id="rId47" Type="http://schemas.openxmlformats.org/officeDocument/2006/relationships/hyperlink" Target="https://doi.org/10.1016/j.intele.2015.08.001" TargetMode="External"/><Relationship Id="rId49" Type="http://schemas.openxmlformats.org/officeDocument/2006/relationships/hyperlink" Target="https://doi.org/10.1186/s12936-016-1506-0"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png"/><Relationship Id="rId31" Type="http://schemas.openxmlformats.org/officeDocument/2006/relationships/hyperlink" Target="https://doi.org/10.1007/978-3-540-70818-6_14" TargetMode="External"/><Relationship Id="rId30" Type="http://schemas.openxmlformats.org/officeDocument/2006/relationships/hyperlink" Target="https://econpapers.repec.org/RePEc:eee:inecon:v:42:y:1997:i:3-4:p:371-393" TargetMode="External"/><Relationship Id="rId33" Type="http://schemas.openxmlformats.org/officeDocument/2006/relationships/hyperlink" Target="https://doi.org/10.1186/s13643-015-0125-0" TargetMode="External"/><Relationship Id="rId32" Type="http://schemas.openxmlformats.org/officeDocument/2006/relationships/hyperlink" Target="https://doi.org/10.1016/j.worlddev.2013.03.006" TargetMode="External"/><Relationship Id="rId35" Type="http://schemas.openxmlformats.org/officeDocument/2006/relationships/hyperlink" Target="https://doi.org/10.1016/j.worlddev.2016.01.001" TargetMode="External"/><Relationship Id="rId34" Type="http://schemas.openxmlformats.org/officeDocument/2006/relationships/hyperlink" Target="https://doi.org/10.1371/journal.pone.0132053" TargetMode="External"/><Relationship Id="rId37" Type="http://schemas.openxmlformats.org/officeDocument/2006/relationships/hyperlink" Target="https://doi.org/10.1080/14631377.2015.1084716" TargetMode="External"/><Relationship Id="rId36" Type="http://schemas.openxmlformats.org/officeDocument/2006/relationships/hyperlink" Target="http://www.theguardian.com/global-development-professionals-network/2014/mar/31/malaria-control-payment-by-results" TargetMode="External"/><Relationship Id="rId39" Type="http://schemas.openxmlformats.org/officeDocument/2006/relationships/hyperlink" Target="https://www.imf.org/external/np/sta/fdi/eng/2003/102803.htm" TargetMode="External"/><Relationship Id="rId38" Type="http://schemas.openxmlformats.org/officeDocument/2006/relationships/hyperlink" Target="http://www.medbox.org/gbd-profile-mozambique/download.pdf" TargetMode="External"/><Relationship Id="rId62" Type="http://schemas.openxmlformats.org/officeDocument/2006/relationships/hyperlink" Target="https://doi.org/10.1007/s10490-013-9369-1" TargetMode="External"/><Relationship Id="rId61" Type="http://schemas.openxmlformats.org/officeDocument/2006/relationships/hyperlink" Target="https://doi.org/10.1007/s11904-015-0264-x" TargetMode="External"/><Relationship Id="rId20" Type="http://schemas.openxmlformats.org/officeDocument/2006/relationships/hyperlink" Target="https://doi.org/10.1093/jae/ejn028" TargetMode="External"/><Relationship Id="rId22" Type="http://schemas.openxmlformats.org/officeDocument/2006/relationships/hyperlink" Target="https://doi.org/10.3386/w17282" TargetMode="External"/><Relationship Id="rId21" Type="http://schemas.openxmlformats.org/officeDocument/2006/relationships/hyperlink" Target="https://www.bhp.com/-/media/bhp/documents/investors/reports/2004/norvatispresentation.pdf" TargetMode="External"/><Relationship Id="rId24" Type="http://schemas.openxmlformats.org/officeDocument/2006/relationships/hyperlink" Target="https://doi.org/10.1016/j.socscimed.2017.03.054" TargetMode="External"/><Relationship Id="rId23" Type="http://schemas.openxmlformats.org/officeDocument/2006/relationships/hyperlink" Target="https://www.quandl.com/data/BUNDESBANK/BBEX3_M_MZN_USD_CA_AC_A01" TargetMode="External"/><Relationship Id="rId60" Type="http://schemas.openxmlformats.org/officeDocument/2006/relationships/hyperlink" Target="http://apps.who.int/iris/bitstream/10665/252038/1/9789241511711-eng.pdf?ua=1" TargetMode="External"/><Relationship Id="rId26" Type="http://schemas.openxmlformats.org/officeDocument/2006/relationships/hyperlink" Target="https://doi.org/10.1080/03056244.2014.976363" TargetMode="External"/><Relationship Id="rId25" Type="http://schemas.openxmlformats.org/officeDocument/2006/relationships/hyperlink" Target="https://doi.org/10.1080/00220388.2011.635200" TargetMode="External"/><Relationship Id="rId28" Type="http://schemas.openxmlformats.org/officeDocument/2006/relationships/hyperlink" Target="http://dhsprogram.com/what-we-do/survey/survey-display-362.cfm" TargetMode="External"/><Relationship Id="rId27" Type="http://schemas.openxmlformats.org/officeDocument/2006/relationships/hyperlink" Target="http://www.undp.org/content/dam/mozambique/docs/Poverty/UNDP" TargetMode="External"/><Relationship Id="rId29" Type="http://schemas.openxmlformats.org/officeDocument/2006/relationships/hyperlink" Target="https://www.economist.com/news/middle-east-and-africa/21715030-mozambique-fails-pay-its-debts-mozambiques-default" TargetMode="External"/><Relationship Id="rId51" Type="http://schemas.openxmlformats.org/officeDocument/2006/relationships/hyperlink" Target="http://www.abo.net/oilportal/topic/view.do?contentId=2195109" TargetMode="External"/><Relationship Id="rId50" Type="http://schemas.openxmlformats.org/officeDocument/2006/relationships/hyperlink" Target="https://doi.org/10.1002/jid.2817" TargetMode="External"/><Relationship Id="rId53" Type="http://schemas.openxmlformats.org/officeDocument/2006/relationships/hyperlink" Target="https://doi.org/10.1016/j.eneco.2015.06.014" TargetMode="External"/><Relationship Id="rId52" Type="http://schemas.openxmlformats.org/officeDocument/2006/relationships/hyperlink" Target="https://doi.org/10.1016/j.worlddev.2012.06.001" TargetMode="External"/><Relationship Id="rId11" Type="http://schemas.openxmlformats.org/officeDocument/2006/relationships/image" Target="media/image4.png"/><Relationship Id="rId55" Type="http://schemas.openxmlformats.org/officeDocument/2006/relationships/hyperlink" Target="http://personal.lse.ac.uk/sutton/mozambique_portuguese_edn_updated_version_web.pdf" TargetMode="External"/><Relationship Id="rId10" Type="http://schemas.openxmlformats.org/officeDocument/2006/relationships/image" Target="media/image5.png"/><Relationship Id="rId54" Type="http://schemas.openxmlformats.org/officeDocument/2006/relationships/hyperlink" Target="https://doi.org/10.1016/j.landusepol.2017.01.047" TargetMode="External"/><Relationship Id="rId13" Type="http://schemas.openxmlformats.org/officeDocument/2006/relationships/image" Target="media/image6.png"/><Relationship Id="rId57" Type="http://schemas.openxmlformats.org/officeDocument/2006/relationships/hyperlink" Target="http://www.doingbusiness.org/~/media/GIAWB/Doing%20Business/Documents/Annual-Reports/English/DB16-Chapters/DB16-Mini-Book.pdf" TargetMode="External"/><Relationship Id="rId12" Type="http://schemas.openxmlformats.org/officeDocument/2006/relationships/image" Target="media/image7.png"/><Relationship Id="rId56" Type="http://schemas.openxmlformats.org/officeDocument/2006/relationships/hyperlink" Target="http://data.worldbank.org/indicator/BX.KLT.DINV.CD.WD" TargetMode="External"/><Relationship Id="rId15" Type="http://schemas.openxmlformats.org/officeDocument/2006/relationships/hyperlink" Target="https://doi.org/10.1186/s13643-016-0337-y" TargetMode="External"/><Relationship Id="rId59" Type="http://schemas.openxmlformats.org/officeDocument/2006/relationships/hyperlink" Target="https://doi.org/10.1016/s0140-6736(13)60024-0" TargetMode="External"/><Relationship Id="rId14" Type="http://schemas.openxmlformats.org/officeDocument/2006/relationships/image" Target="media/image3.png"/><Relationship Id="rId58" Type="http://schemas.openxmlformats.org/officeDocument/2006/relationships/hyperlink" Target="https://data.worldbank.org/" TargetMode="External"/><Relationship Id="rId17" Type="http://schemas.openxmlformats.org/officeDocument/2006/relationships/hyperlink" Target="https://doi.org/10.1016/j.sbspro.2014.03.668" TargetMode="External"/><Relationship Id="rId16" Type="http://schemas.openxmlformats.org/officeDocument/2006/relationships/hyperlink" Target="https://doi.org/10.3386/w12522" TargetMode="External"/><Relationship Id="rId19" Type="http://schemas.openxmlformats.org/officeDocument/2006/relationships/hyperlink" Target="https://doi.org/10.2139/ssrn.717361" TargetMode="External"/><Relationship Id="rId18" Type="http://schemas.openxmlformats.org/officeDocument/2006/relationships/hyperlink" Target="https://doi.org/10.1186/1475-2875-10-2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