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sz w:val="56"/>
          <w:szCs w:val="56"/>
        </w:rPr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/>
      </w:pPr>
      <w:r>
        <w:rPr/>
        <w:t>Dear Madame/ Sir,</w:t>
      </w:r>
    </w:p>
    <w:p>
      <w:pPr>
        <w:pStyle w:val="Normal"/>
        <w:widowControl/>
        <w:pBdr/>
        <w:shd w:val="clear" w:fill="auto"/>
        <w:spacing w:lineRule="auto" w:line="240" w:before="180" w:after="180"/>
        <w:ind w:left="0" w:right="0" w:hanging="0"/>
        <w:jc w:val="left"/>
        <w:rPr/>
      </w:pPr>
      <w:r>
        <w:rPr/>
        <w:t xml:space="preserve">We are pleased to submit to you our paper on the landscape of Foreign Direct Investment (FDI), Corporate Social Responsibility (SCR), and malaria in Mozambique. </w:t>
      </w:r>
    </w:p>
    <w:p>
      <w:pPr>
        <w:pStyle w:val="Normal"/>
        <w:widowControl/>
        <w:pBdr/>
        <w:shd w:val="clear" w:fill="auto"/>
        <w:spacing w:lineRule="auto" w:line="240" w:before="180" w:after="180"/>
        <w:ind w:left="0" w:right="0" w:hanging="0"/>
        <w:jc w:val="left"/>
        <w:rPr/>
      </w:pPr>
      <w:r>
        <w:rPr/>
        <w:t xml:space="preserve">This is a mixed-methods research project in which we sought both to </w:t>
      </w:r>
      <w:r>
        <w:rPr>
          <w:i w:val="false"/>
          <w:iCs w:val="false"/>
        </w:rPr>
        <w:t xml:space="preserve">understand quantiatively the role of FDI and CSR in malaria control initiatives, </w:t>
      </w:r>
      <w:r>
        <w:rPr>
          <w:i w:val="false"/>
          <w:iCs w:val="false"/>
          <w:u w:val="none"/>
        </w:rPr>
        <w:t xml:space="preserve">understand </w:t>
      </w:r>
      <w:r>
        <w:rPr>
          <w:i/>
          <w:iCs/>
          <w:u w:val="none"/>
        </w:rPr>
        <w:t>qualitatively</w:t>
      </w:r>
      <w:r>
        <w:rPr>
          <w:i w:val="false"/>
          <w:iCs w:val="false"/>
          <w:u w:val="none"/>
        </w:rPr>
        <w:t xml:space="preserve"> the incentives behind such initiatives, and explore the possibility of FDI and CSR activities being scaled up and coordinated towards the “win-win” of malaria elimination.</w:t>
      </w:r>
      <w:r>
        <w:rPr>
          <w:i w:val="false"/>
          <w:iCs w:val="false"/>
        </w:rPr>
        <w:t xml:space="preserve"> We believe that it will be of interest to your readers insofar as is both synthesizes available data and research on malaria and the private sector and Mozambique and offers a vision for the future based on this synthesis.</w:t>
      </w:r>
    </w:p>
    <w:p>
      <w:pPr>
        <w:pStyle w:val="Normal"/>
        <w:widowControl/>
        <w:pBdr/>
        <w:shd w:val="clear" w:fill="auto"/>
        <w:spacing w:lineRule="auto" w:line="240" w:before="180" w:after="180"/>
        <w:ind w:left="0" w:right="0" w:hanging="0"/>
        <w:jc w:val="left"/>
        <w:rPr/>
      </w:pPr>
      <w:r>
        <w:rPr/>
        <w:t>Thank you for considering our work for publication in World Development.</w:t>
      </w:r>
    </w:p>
    <w:p>
      <w:pPr>
        <w:pStyle w:val="Normal"/>
        <w:widowControl/>
        <w:pBdr/>
        <w:shd w:val="clear" w:fill="auto"/>
        <w:spacing w:lineRule="auto" w:line="240" w:before="180" w:after="180"/>
        <w:ind w:left="0" w:right="0" w:hanging="0"/>
        <w:jc w:val="left"/>
        <w:rPr/>
      </w:pPr>
      <w:r>
        <w:rPr/>
        <w:t>Best,</w:t>
      </w:r>
    </w:p>
    <w:p>
      <w:pPr>
        <w:pStyle w:val="Normal"/>
        <w:jc w:val="left"/>
        <w:rPr/>
      </w:pPr>
      <w:r>
        <w:rPr>
          <w:color w:val="00000A"/>
        </w:rPr>
        <w:t>Joe Brew* (1, 2), Celine Aerts(1), Elisa Sicuri(1,3,)</w:t>
      </w:r>
    </w:p>
    <w:p>
      <w:pPr>
        <w:pStyle w:val="Normal"/>
        <w:spacing w:lineRule="auto" w:line="240" w:before="180" w:after="180"/>
        <w:jc w:val="left"/>
        <w:rPr/>
      </w:pPr>
      <w:r>
        <w:rPr>
          <w:rFonts w:eastAsia="Calibri" w:cs="Calibri" w:ascii="Calibri" w:hAnsi="Calibri"/>
          <w:color w:val="00000A"/>
          <w:sz w:val="16"/>
          <w:szCs w:val="16"/>
        </w:rPr>
        <w:t>1. Barcelona Institute for Global Health: c/ Rosselló, 132, 5è 2a. 08036, Barcelona, Spain</w:t>
      </w:r>
    </w:p>
    <w:p>
      <w:pPr>
        <w:pStyle w:val="Normal"/>
        <w:spacing w:lineRule="auto" w:line="240" w:before="180" w:after="180"/>
        <w:jc w:val="left"/>
        <w:rPr/>
      </w:pPr>
      <w:r>
        <w:rPr>
          <w:rFonts w:eastAsia="Calibri" w:cs="Calibri" w:ascii="Calibri" w:hAnsi="Calibri"/>
          <w:color w:val="00000A"/>
          <w:sz w:val="16"/>
          <w:szCs w:val="16"/>
        </w:rPr>
        <w:t>2. VU University Amsterdam: De Boelelaan 1105, 1081 HV Amsterdam, Netherlands</w:t>
      </w:r>
    </w:p>
    <w:p>
      <w:pPr>
        <w:pStyle w:val="Normal"/>
        <w:spacing w:lineRule="auto" w:line="240" w:before="180" w:after="180"/>
        <w:jc w:val="left"/>
        <w:rPr/>
      </w:pPr>
      <w:r>
        <w:rPr>
          <w:rFonts w:eastAsia="Calibri" w:cs="Calibri" w:ascii="Calibri" w:hAnsi="Calibri"/>
          <w:color w:val="00000A"/>
          <w:sz w:val="16"/>
          <w:szCs w:val="16"/>
        </w:rPr>
        <w:t xml:space="preserve">3. </w:t>
      </w:r>
      <w:r>
        <w:rPr>
          <w:rFonts w:eastAsia="Calibri" w:cs="Calibri" w:ascii="Calibri" w:hAnsi="Calibri"/>
          <w:color w:val="00000A"/>
          <w:sz w:val="16"/>
          <w:szCs w:val="16"/>
          <w:highlight w:val="white"/>
        </w:rPr>
        <w:t>Health Economics group, School of Public Health, Department of Infectious Disease Epidemiology, Imperial College London, London, UK.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80" w:after="180"/>
        <w:ind w:left="0" w:right="0" w:hanging="0"/>
        <w:jc w:val="left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/>
      </w:r>
    </w:p>
    <w:p>
      <w:pPr>
        <w:pStyle w:val="Heading1"/>
        <w:rPr>
          <w:rFonts w:ascii="Cambria" w:hAnsi="Cambria" w:eastAsia="Cambria" w:cs="Cambr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24"/>
          <w:szCs w:val="24"/>
          <w:u w:val="none"/>
          <w:vertAlign w:val="baseline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40" w:before="0" w:after="200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0"/>
    </w:pPr>
    <w:rPr>
      <w:rFonts w:ascii="Calibri" w:hAnsi="Calibri" w:eastAsia="Calibri" w:cs="Calibri"/>
      <w:b/>
      <w:color w:val="335B8A"/>
      <w:sz w:val="32"/>
      <w:szCs w:val="32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b/>
      <w:color w:val="4F81BD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i/>
      <w:color w:val="4F81BD"/>
      <w:sz w:val="24"/>
      <w:szCs w:val="24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0"/>
    </w:pPr>
    <w:rPr>
      <w:rFonts w:ascii="Calibri" w:hAnsi="Calibri" w:eastAsia="Calibri" w:cs="Calibri"/>
      <w:color w:val="4F81BD"/>
      <w:sz w:val="24"/>
      <w:szCs w:val="24"/>
    </w:rPr>
  </w:style>
  <w:style w:type="character" w:styleId="ListLabel1">
    <w:name w:val="ListLabel 1"/>
    <w:qFormat/>
    <w:rPr>
      <w:rFonts w:ascii="Cambria" w:hAnsi="Cambria" w:eastAsia="Cambria" w:cs="Cambria"/>
      <w:b w:val="false"/>
      <w:i w:val="false"/>
      <w:caps w:val="false"/>
      <w:smallCaps w:val="false"/>
      <w:strike w:val="false"/>
      <w:dstrike w:val="false"/>
      <w:color w:val="4F81BD"/>
      <w:position w:val="0"/>
      <w:sz w:val="24"/>
      <w:sz w:val="24"/>
      <w:szCs w:val="24"/>
      <w:u w:val="non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mbria" w:hAnsi="Cambria" w:eastAsia="Cambria" w:cs="Cambria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240"/>
      <w:jc w:val="center"/>
    </w:pPr>
    <w:rPr>
      <w:rFonts w:ascii="Calibri" w:hAnsi="Calibri" w:eastAsia="Calibri" w:cs="Calibri"/>
      <w:b/>
      <w:color w:val="335B8A"/>
      <w:sz w:val="36"/>
      <w:szCs w:val="36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240" w:after="240"/>
      <w:jc w:val="center"/>
    </w:pPr>
    <w:rPr>
      <w:rFonts w:ascii="Calibri" w:hAnsi="Calibri" w:eastAsia="Calibri" w:cs="Calibri"/>
      <w:b/>
      <w:color w:val="335B8A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188</Words>
  <Characters>1043</Characters>
  <CharactersWithSpaces>1223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Joe Brew</cp:lastModifiedBy>
  <dcterms:modified xsi:type="dcterms:W3CDTF">2020-04-15T09:03:51Z</dcterms:modified>
  <cp:revision>2</cp:revision>
  <dc:subject/>
  <dc:title/>
</cp:coreProperties>
</file>