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sz w:val="56"/>
          <w:szCs w:val="56"/>
        </w:rPr>
      </w:pPr>
      <w:bookmarkStart w:id="0" w:name="_1yatl7fwb3tz"/>
      <w:bookmarkEnd w:id="0"/>
      <w:r>
        <w:rPr>
          <w:sz w:val="56"/>
          <w:szCs w:val="56"/>
        </w:rPr>
        <w:t>Foreign direct investment, corporate social responsibility, and malaria control in Mozambique - trends, risks, and opportunities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color w:val="00000A"/>
        </w:rPr>
      </w:pPr>
      <w:r>
        <w:rPr>
          <w:color w:val="00000A"/>
        </w:rPr>
        <w:t>Joe Brew* (1, 2), Celine Aerts(1), Elisa Sicuri(1,3,)</w:t>
      </w:r>
    </w:p>
    <w:p>
      <w:pPr>
        <w:pStyle w:val="Normal"/>
        <w:spacing w:lineRule="auto" w:line="240" w:before="180" w:after="180"/>
        <w:jc w:val="center"/>
        <w:rPr>
          <w:rFonts w:ascii="Calibri" w:hAnsi="Calibri" w:eastAsia="Calibri" w:cs="Calibri"/>
          <w:color w:val="00000A"/>
          <w:sz w:val="16"/>
          <w:szCs w:val="16"/>
        </w:rPr>
      </w:pPr>
      <w:r>
        <w:rPr>
          <w:rFonts w:eastAsia="Calibri" w:cs="Calibri" w:ascii="Calibri" w:hAnsi="Calibri"/>
          <w:color w:val="00000A"/>
          <w:sz w:val="16"/>
          <w:szCs w:val="16"/>
        </w:rPr>
        <w:t>1. Barcelona Institute for Global Health: c/ Rosselló, 132, 5è 2a. 08036, Barcelona, Spain</w:t>
      </w:r>
    </w:p>
    <w:p>
      <w:pPr>
        <w:pStyle w:val="Normal"/>
        <w:spacing w:lineRule="auto" w:line="240" w:before="180" w:after="180"/>
        <w:jc w:val="center"/>
        <w:rPr>
          <w:rFonts w:ascii="Calibri" w:hAnsi="Calibri" w:eastAsia="Calibri" w:cs="Calibri"/>
          <w:color w:val="00000A"/>
          <w:sz w:val="16"/>
          <w:szCs w:val="16"/>
        </w:rPr>
      </w:pPr>
      <w:r>
        <w:rPr>
          <w:rFonts w:eastAsia="Calibri" w:cs="Calibri" w:ascii="Calibri" w:hAnsi="Calibri"/>
          <w:color w:val="00000A"/>
          <w:sz w:val="16"/>
          <w:szCs w:val="16"/>
        </w:rPr>
        <w:t>2. VU University Amsterdam: De Boelelaan 1105, 1081 HV Amsterdam, Netherlands</w:t>
      </w:r>
    </w:p>
    <w:p>
      <w:pPr>
        <w:pStyle w:val="Normal"/>
        <w:spacing w:lineRule="auto" w:line="240" w:before="180" w:after="180"/>
        <w:jc w:val="center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 w:ascii="Calibri" w:hAnsi="Calibri"/>
          <w:color w:val="00000A"/>
          <w:sz w:val="16"/>
          <w:szCs w:val="16"/>
        </w:rPr>
        <w:t xml:space="preserve">3. </w:t>
      </w:r>
      <w:r>
        <w:rPr>
          <w:rFonts w:eastAsia="Calibri" w:cs="Calibri" w:ascii="Calibri" w:hAnsi="Calibri"/>
          <w:color w:val="00000A"/>
          <w:sz w:val="16"/>
          <w:szCs w:val="16"/>
          <w:highlight w:val="white"/>
        </w:rPr>
        <w:t>Health Economics group, School of Public Health, Department of Infectious Disease Epidemiology, Imperial College London, London, UK.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200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ListLabel1">
    <w:name w:val="ListLabel 1"/>
    <w:qFormat/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67</Words>
  <Characters>421</Characters>
  <CharactersWithSpaces>483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Joe Brew</cp:lastModifiedBy>
  <dcterms:modified xsi:type="dcterms:W3CDTF">2020-04-15T08:51:29Z</dcterms:modified>
  <cp:revision>1</cp:revision>
  <dc:subject/>
  <dc:title/>
</cp:coreProperties>
</file>