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00"/>
        <w:jc w:val="left"/>
        <w:rPr/>
      </w:pPr>
      <w:r>
        <w:rPr/>
        <w:t>Researchers’ perceptions of malaria eradication: findings from a mixed-methods analysis of a large online survey</w:t>
      </w:r>
    </w:p>
    <w:tbl>
      <w:tblPr>
        <w:tblStyle w:val="Table1"/>
        <w:tblW w:w="10470" w:type="dxa"/>
        <w:jc w:val="left"/>
        <w:tblInd w:w="-94" w:type="dxa"/>
        <w:tblBorders/>
        <w:tblCellMar>
          <w:top w:w="14" w:type="dxa"/>
          <w:left w:w="14" w:type="dxa"/>
          <w:bottom w:w="14" w:type="dxa"/>
          <w:right w:w="14" w:type="dxa"/>
        </w:tblCellMar>
        <w:tblLook w:val="0600"/>
      </w:tblPr>
      <w:tblGrid>
        <w:gridCol w:w="2113"/>
        <w:gridCol w:w="677"/>
        <w:gridCol w:w="1695"/>
        <w:gridCol w:w="5984"/>
      </w:tblGrid>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Joe Brew*</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MPH</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hyperlink r:id="rId2">
              <w:r>
                <w:rPr>
                  <w:rStyle w:val="ListLabel10"/>
                  <w:color w:val="1155CC"/>
                  <w:u w:val="single"/>
                </w:rPr>
                <w:t>joebrew@gmail.com</w:t>
              </w:r>
            </w:hyperlink>
            <w:r>
              <w:rPr/>
              <w:t xml:space="preserve"> | +34 666 66 80 86</w:t>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Menno Pradhan</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 UVA</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Jacqueline Broerse</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Elisa Sicuri</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ICL</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200"/>
        <w:rPr>
          <w:sz w:val="18"/>
          <w:szCs w:val="18"/>
        </w:rPr>
      </w:pPr>
      <w:r>
        <w:rPr>
          <w:sz w:val="18"/>
          <w:szCs w:val="18"/>
        </w:rPr>
        <w:t>* Corresponding author</w:t>
      </w:r>
    </w:p>
    <w:p>
      <w:pPr>
        <w:pStyle w:val="Normal"/>
        <w:spacing w:before="0" w:after="200"/>
        <w:rPr>
          <w:sz w:val="18"/>
          <w:szCs w:val="18"/>
        </w:rPr>
      </w:pPr>
      <w:r>
        <w:rPr>
          <w:b/>
          <w:sz w:val="18"/>
          <w:szCs w:val="18"/>
        </w:rPr>
        <w:t xml:space="preserve">ISGlobal: </w:t>
      </w:r>
      <w:r>
        <w:rPr>
          <w:sz w:val="18"/>
          <w:szCs w:val="18"/>
        </w:rPr>
        <w:t>Barcelona Institute for Global Health, Hospital Clinic: c/ Rosselló, 132, 5è 2a. 08036, Barcelona, Spain</w:t>
      </w:r>
    </w:p>
    <w:p>
      <w:pPr>
        <w:pStyle w:val="Normal"/>
        <w:spacing w:before="0" w:after="200"/>
        <w:rPr>
          <w:sz w:val="18"/>
          <w:szCs w:val="18"/>
        </w:rPr>
      </w:pPr>
      <w:r>
        <w:rPr>
          <w:b/>
          <w:sz w:val="18"/>
          <w:szCs w:val="18"/>
        </w:rPr>
        <w:t xml:space="preserve">VU: </w:t>
      </w:r>
      <w:r>
        <w:rPr>
          <w:sz w:val="18"/>
          <w:szCs w:val="18"/>
        </w:rPr>
        <w:t>Vrije Universiteit Amsterdam: De Boelelaan 1105, 1081 HV Amsterdam, Netherlands</w:t>
      </w:r>
    </w:p>
    <w:p>
      <w:pPr>
        <w:pStyle w:val="Normal"/>
        <w:spacing w:before="0" w:after="200"/>
        <w:rPr>
          <w:sz w:val="18"/>
          <w:szCs w:val="18"/>
        </w:rPr>
      </w:pPr>
      <w:r>
        <w:rPr>
          <w:b/>
          <w:sz w:val="18"/>
          <w:szCs w:val="18"/>
        </w:rPr>
        <w:t xml:space="preserve">UVA: </w:t>
      </w:r>
      <w:r>
        <w:rPr>
          <w:sz w:val="18"/>
          <w:szCs w:val="18"/>
        </w:rPr>
        <w:t>University of Amsterdam: REC E, Roetersstraat 11, Amsterdam, Netherlands</w:t>
      </w:r>
    </w:p>
    <w:p>
      <w:pPr>
        <w:pStyle w:val="Normal"/>
        <w:spacing w:before="0" w:after="200"/>
        <w:rPr>
          <w:b/>
          <w:b/>
        </w:rPr>
      </w:pPr>
      <w:r>
        <w:rPr>
          <w:b/>
          <w:sz w:val="18"/>
          <w:szCs w:val="18"/>
        </w:rPr>
        <w:t xml:space="preserve">ICL: </w:t>
      </w:r>
      <w:r>
        <w:rPr>
          <w:sz w:val="18"/>
          <w:szCs w:val="18"/>
        </w:rPr>
        <w:t>Health Economics Group, Department of Infectious Disease Epidemiology, School of Public Health, Imperial College London | Saint Mary’s Campus, London U.K.</w:t>
      </w:r>
    </w:p>
    <w:p>
      <w:pPr>
        <w:pStyle w:val="Normal"/>
        <w:spacing w:before="0" w:after="200"/>
        <w:rPr/>
      </w:pPr>
      <w:r>
        <w:rPr>
          <w:b/>
        </w:rPr>
        <w:t>Keywords:</w:t>
      </w:r>
      <w:r>
        <w:rPr/>
        <w:t xml:space="preserve"> </w:t>
      </w:r>
    </w:p>
    <w:p>
      <w:pPr>
        <w:pStyle w:val="Normal"/>
        <w:spacing w:before="0" w:after="200"/>
        <w:rPr/>
      </w:pPr>
      <w:r>
        <w:rPr/>
        <w:t>malaria; eradication; elimination; mixed methods; survey; crowdsourcing; probability; opportunity cost</w:t>
      </w:r>
    </w:p>
    <w:p>
      <w:pPr>
        <w:pStyle w:val="Normal"/>
        <w:spacing w:before="0" w:after="200"/>
        <w:rPr/>
      </w:pPr>
      <w:r>
        <w:rPr>
          <w:b/>
        </w:rPr>
        <w:t>Abbreviated running title:</w:t>
      </w:r>
      <w:r>
        <w:rPr/>
        <w:t xml:space="preserve"> </w:t>
      </w:r>
    </w:p>
    <w:p>
      <w:pPr>
        <w:pStyle w:val="Normal"/>
        <w:spacing w:before="0" w:after="200"/>
        <w:rPr/>
      </w:pPr>
      <w:r>
        <w:rPr/>
        <w:t>Survey on malaria eradication</w:t>
      </w:r>
    </w:p>
    <w:p>
      <w:pPr>
        <w:pStyle w:val="Normal"/>
        <w:spacing w:before="0" w:after="200"/>
        <w:rPr/>
      </w:pPr>
      <w:r>
        <w:rPr>
          <w:b/>
        </w:rPr>
        <w:t>Key messages:</w:t>
      </w:r>
    </w:p>
    <w:p>
      <w:pPr>
        <w:pStyle w:val="Normal"/>
        <w:numPr>
          <w:ilvl w:val="0"/>
          <w:numId w:val="2"/>
        </w:numPr>
        <w:spacing w:before="0" w:after="200"/>
        <w:ind w:left="720" w:hanging="360"/>
        <w:contextualSpacing/>
        <w:rPr>
          <w:u w:val="none"/>
        </w:rPr>
      </w:pPr>
      <w:r>
        <w:rPr/>
        <w:t>We estimate probability of and time frame of eradication given researchers’ perceptions.</w:t>
      </w:r>
    </w:p>
    <w:p>
      <w:pPr>
        <w:pStyle w:val="Normal"/>
        <w:numPr>
          <w:ilvl w:val="0"/>
          <w:numId w:val="2"/>
        </w:numPr>
        <w:spacing w:before="0" w:after="200"/>
        <w:ind w:left="720" w:hanging="360"/>
        <w:contextualSpacing/>
        <w:rPr>
          <w:u w:val="none"/>
        </w:rPr>
      </w:pPr>
      <w:r>
        <w:rPr/>
        <w:t>Our results suggest that most malaria researchers believe short-term global malaria eradication to be unlikely.</w:t>
      </w:r>
    </w:p>
    <w:p>
      <w:pPr>
        <w:pStyle w:val="Normal"/>
        <w:numPr>
          <w:ilvl w:val="0"/>
          <w:numId w:val="2"/>
        </w:numPr>
        <w:spacing w:before="0" w:after="200"/>
        <w:ind w:left="720" w:hanging="360"/>
        <w:contextualSpacing/>
        <w:rPr>
          <w:u w:val="none"/>
        </w:rPr>
      </w:pPr>
      <w:r>
        <w:rPr/>
        <w:t>We identify challenges pertaining to eradication through qualitative analysis.</w:t>
      </w:r>
    </w:p>
    <w:p>
      <w:pPr>
        <w:pStyle w:val="Normal"/>
        <w:numPr>
          <w:ilvl w:val="0"/>
          <w:numId w:val="2"/>
        </w:numPr>
        <w:spacing w:before="0" w:after="200"/>
        <w:ind w:left="720" w:hanging="360"/>
        <w:contextualSpacing/>
        <w:rPr>
          <w:u w:val="none"/>
        </w:rPr>
      </w:pPr>
      <w:r>
        <w:rPr/>
        <w:t>We highlight implications for health spending and policy, given the perceived low probability of eradication.</w:t>
      </w:r>
    </w:p>
    <w:p>
      <w:pPr>
        <w:pStyle w:val="Normal"/>
        <w:spacing w:before="0" w:after="200"/>
        <w:rPr/>
      </w:pPr>
      <w:r>
        <w:rPr>
          <w:b/>
        </w:rPr>
        <w:t>Acknowledgements:</w:t>
      </w:r>
    </w:p>
    <w:p>
      <w:pPr>
        <w:pStyle w:val="Normal"/>
        <w:spacing w:before="0" w:after="200"/>
        <w:rPr/>
      </w:pPr>
      <w:r>
        <w:rPr/>
        <w:t>This work was partially supported by the Erasmus Mundus Joint Doctorate Programme of the European Union through a training grant to Joe Brew. No specific funding was requested from any institution for the conduct of this study.</w:t>
      </w:r>
    </w:p>
    <w:p>
      <w:pPr>
        <w:pStyle w:val="Normal"/>
        <w:spacing w:before="0" w:after="200"/>
        <w:rPr/>
      </w:pPr>
      <w:r>
        <w:rPr>
          <w:b/>
        </w:rPr>
        <w:t xml:space="preserve">Code: </w:t>
      </w:r>
      <w:r>
        <w:rPr/>
        <w:t>https://github.com/joebrew/malaria_survey</w:t>
      </w:r>
    </w:p>
    <w:p>
      <w:pPr>
        <w:pStyle w:val="Normal"/>
        <w:keepNext w:val="false"/>
        <w:keepLines w:val="false"/>
        <w:widowControl/>
        <w:shd w:val="clear" w:fill="auto"/>
        <w:spacing w:lineRule="auto" w:line="240" w:before="36" w:after="36"/>
        <w:ind w:left="0" w:right="0" w:hanging="0"/>
        <w:jc w:val="left"/>
        <w:rPr/>
      </w:pPr>
      <w:r>
        <w:rPr>
          <w:b/>
        </w:rPr>
        <w:t>Word count:</w:t>
      </w:r>
      <w:r>
        <w:rPr/>
        <w:t xml:space="preserve">  4,677</w:t>
      </w:r>
    </w:p>
    <w:p>
      <w:pPr>
        <w:pStyle w:val="Heading1"/>
        <w:spacing w:lineRule="auto" w:line="480" w:before="180" w:after="180"/>
        <w:rPr/>
      </w:pPr>
      <w:r>
        <w:rPr/>
      </w:r>
    </w:p>
    <w:p>
      <w:pPr>
        <w:pStyle w:val="Heading1"/>
        <w:spacing w:lineRule="auto" w:line="480" w:before="180" w:after="180"/>
        <w:rPr/>
      </w:pPr>
      <w:bookmarkStart w:id="0" w:name="_jjcjtprbfqwn"/>
      <w:bookmarkEnd w:id="0"/>
      <w:r>
        <w:rPr/>
        <w:t>Abstract</w:t>
      </w:r>
    </w:p>
    <w:p>
      <w:pPr>
        <w:pStyle w:val="Normal"/>
        <w:spacing w:lineRule="auto" w:line="480" w:before="0" w:after="200"/>
        <w:rPr/>
      </w:pPr>
      <w:r>
        <w:rPr/>
        <w:t>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sceptical regarding the possibility of eradication in the short-term, even failed eradication campaigns may offer substantial return on investment given the associated reductions in morbidity and mortality.</w:t>
      </w:r>
      <w:bookmarkStart w:id="1" w:name="gjdgxs"/>
      <w:bookmarkEnd w:id="1"/>
    </w:p>
    <w:p>
      <w:pPr>
        <w:pStyle w:val="Heading1"/>
        <w:spacing w:lineRule="auto" w:line="480" w:before="0" w:after="200"/>
        <w:rPr/>
      </w:pPr>
      <w:r>
        <w:rPr/>
        <w:t>Introduction</w:t>
      </w:r>
      <w:bookmarkStart w:id="2" w:name="30j0zll"/>
      <w:bookmarkEnd w:id="2"/>
    </w:p>
    <w:p>
      <w:pPr>
        <w:pStyle w:val="Heading2"/>
        <w:spacing w:lineRule="auto" w:line="480" w:before="0" w:after="200"/>
        <w:rPr/>
      </w:pPr>
      <w:r>
        <w:rPr/>
        <w:t>Background</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(“the worldwide interruption of transmission”) (Hopkins, 2013) (Rabinovich et al., 2017) (Lancet, 2011).</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ambitious goals, stating the objective of eliminating malaria in 65 new endemic countries from 2015 through 2030 (Figure 1).</w:t>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734050" cy="37846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3"/>
                    <a:stretch>
                      <a:fillRect/>
                    </a:stretch>
                  </pic:blipFill>
                  <pic:spPr bwMode="auto">
                    <a:xfrm>
                      <a:off x="0" y="0"/>
                      <a:ext cx="5734050" cy="3784600"/>
                    </a:xfrm>
                    <a:prstGeom prst="rect">
                      <a:avLst/>
                    </a:prstGeom>
                  </pic:spPr>
                </pic:pic>
              </a:graphicData>
            </a:graphic>
          </wp:inline>
        </w:drawing>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1: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Countries with malaria: Observed and WHO objectives</w:t>
      </w:r>
    </w:p>
    <w:p>
      <w:pPr>
        <w:pStyle w:val="Normal"/>
        <w:keepNext w:val="false"/>
        <w:keepLines w:val="false"/>
        <w:widowControl/>
        <w:shd w:val="clear" w:fill="auto"/>
        <w:spacing w:lineRule="auto" w:line="480" w:before="0" w:after="120"/>
        <w:ind w:left="0" w:right="0" w:hanging="0"/>
        <w:jc w:val="left"/>
        <w:rPr>
          <w:i/>
          <w:i/>
        </w:rPr>
      </w:pPr>
      <w:r>
        <w:rPr>
          <w:i/>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modeling and vaccinology, along with rapid economic development, have made eradication appear a more feasible goal, though not possible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firmly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achieving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disease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prospectively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4">
        <w:r>
          <w:rPr>
            <w:rStyle w:val="ListLabel11"/>
            <w:b w:val="false"/>
            <w:color w:val="000000"/>
            <w:u w:val="none"/>
          </w:rPr>
          <w:t>(Coelho et al. 2017)</w:t>
        </w:r>
      </w:hyperlink>
      <w:r>
        <w:rPr/>
        <w:t xml:space="preserve">.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general objective of eradication serves to inspire, rally funder support, motivate researchers, and focus the efforts of public health practitioners.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(to the authors’ knowledge)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5">
        <w:r>
          <w:rPr>
            <w:rStyle w:val="ListLabel11"/>
            <w:b w:val="false"/>
            <w:color w:val="000000"/>
            <w:u w:val="none"/>
          </w:rPr>
          <w:t>(Li 2005)</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bookmarkStart w:id="3" w:name="1fob9te"/>
      <w:bookmarkEnd w:id="3"/>
    </w:p>
    <w:p>
      <w:pPr>
        <w:pStyle w:val="Heading1"/>
        <w:spacing w:lineRule="auto" w:line="480" w:before="0" w:after="200"/>
        <w:rPr/>
      </w:pPr>
      <w:r>
        <w:rPr/>
        <w:t>Methods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The survey was administered and data were collected through Google Drive. The original survey is viewable at </w:t>
      </w:r>
      <w:r>
        <w:rPr>
          <w:color w:val="000000"/>
          <w:u w:val="none"/>
        </w:rPr>
        <w:t>http://economicsofmalaria.com/survey.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survey was intentionally as short as possible, so as to appeal to time-pressed participants. However, supplementary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participant gender</w:t>
      </w:r>
      <w:r>
        <w:rPr/>
        <w:t>,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In order to estimate whether a user was male or female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Survey results were first analyzed descriptively. Following Francis Galton’s example, we </w:t>
      </w:r>
      <w:r>
        <w:rPr/>
        <w:t>simply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the likely confidence interval of those likelihoods and time frames.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 Finally, free-text comments were scored for overall sentiment polarity (Rinker, 2017).</w:t>
      </w:r>
      <w:bookmarkStart w:id="4" w:name="3znysh7"/>
      <w:bookmarkEnd w:id="4"/>
    </w:p>
    <w:p>
      <w:pPr>
        <w:pStyle w:val="Heading1"/>
        <w:spacing w:lineRule="auto" w:line="480" w:before="0" w:after="200"/>
        <w:rPr/>
      </w:pPr>
      <w:r>
        <w:rPr/>
        <w:t>Results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with participants having the option to choose from up to 3 of 10 checkboxes, or to write in one or more “other” areas of expertise.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31115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6"/>
                    <a:stretch>
                      <a:fillRect/>
                    </a:stretch>
                  </pic:blipFill>
                  <pic:spPr bwMode="auto">
                    <a:xfrm>
                      <a:off x="0" y="0"/>
                      <a:ext cx="5734050" cy="3111500"/>
                    </a:xfrm>
                    <a:prstGeom prst="rect">
                      <a:avLst/>
                    </a:prstGeom>
                  </pic:spPr>
                </pic:pic>
              </a:graphicData>
            </a:graphic>
          </wp:inline>
        </w:drawing>
      </w:r>
    </w:p>
    <w:p>
      <w:pPr>
        <w:pStyle w:val="Normal"/>
        <w:spacing w:lineRule="auto" w:line="480" w:before="0" w:after="120"/>
        <w:rPr/>
      </w:pPr>
      <w:r>
        <w:rPr>
          <w:i/>
        </w:rPr>
        <w:t>Figure 2  - Perceptions of likelihood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14351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5734050" cy="1435100"/>
                    </a:xfrm>
                    <a:prstGeom prst="rect">
                      <a:avLst/>
                    </a:prstGeom>
                  </pic:spPr>
                </pic:pic>
              </a:graphicData>
            </a:graphic>
          </wp:inline>
        </w:drawing>
      </w:r>
    </w:p>
    <w:p>
      <w:pPr>
        <w:pStyle w:val="Normal"/>
        <w:keepNext w:val="true"/>
        <w:keepLines w:val="false"/>
        <w:widowControl/>
        <w:shd w:val="clear" w:fill="auto"/>
        <w:spacing w:lineRule="auto" w:line="480" w:before="0" w:after="120"/>
        <w:ind w:left="0" w:right="0" w:hanging="0"/>
        <w:jc w:val="left"/>
        <w:rPr>
          <w:i/>
          <w:i/>
        </w:rPr>
      </w:pPr>
      <w:r>
        <w:rPr>
          <w:i/>
        </w:rPr>
        <w:t>Table 1</w:t>
      </w:r>
    </w:p>
    <w:p>
      <w:pPr>
        <w:pStyle w:val="Normal"/>
        <w:keepNext w:val="true"/>
        <w:keepLines w:val="false"/>
        <w:widowControl/>
        <w:shd w:val="clear" w:fill="auto"/>
        <w:spacing w:lineRule="auto" w:line="480" w:before="0" w:after="120"/>
        <w:ind w:left="0" w:right="0" w:hanging="0"/>
        <w:jc w:val="left"/>
        <w:rPr>
          <w:i/>
          <w:i/>
        </w:rPr>
      </w:pPr>
      <w:r>
        <w:rPr>
          <w:i/>
        </w:rPr>
      </w:r>
    </w:p>
    <w:p>
      <w:pPr>
        <w:pStyle w:val="Normal"/>
        <w:keepNext w:val="true"/>
        <w:keepLines w:val="false"/>
        <w:widowControl/>
        <w:shd w:val="clear" w:fill="auto"/>
        <w:spacing w:lineRule="auto" w:line="480" w:before="0" w:after="12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Selection bias is not of concern in the case of differential response if the groups for whom there are differences are not different in terms of the outcome variable. This was the case for sex: males responded at a significantly greater rate than females (p &lt; 0.001, Pearson</w:t>
      </w:r>
      <w:r>
        <w:rPr/>
        <w:t>’s Chi-squared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those who were highly-cited tended to be more pessimistic.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employed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Pr/>
        <w:t>Roughly, the adjusted perceived likelihood of eradication tracks the number of years into the future.</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27305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8"/>
                    <a:stretch>
                      <a:fillRect/>
                    </a:stretch>
                  </pic:blipFill>
                  <pic:spPr bwMode="auto">
                    <a:xfrm>
                      <a:off x="0" y="0"/>
                      <a:ext cx="5734050" cy="2730500"/>
                    </a:xfrm>
                    <a:prstGeom prst="rect">
                      <a:avLst/>
                    </a:prstGeom>
                  </pic:spPr>
                </pic:pic>
              </a:graphicData>
            </a:graphic>
          </wp:inline>
        </w:drawing>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3: </w:t>
      </w:r>
      <w:r>
        <w:rPr>
          <w:rFonts w:eastAsia="Cambria" w:cs="Cambria"/>
          <w:b w:val="false"/>
          <w:i/>
          <w:caps w:val="false"/>
          <w:smallCaps w:val="false"/>
          <w:strike w:val="false"/>
          <w:dstrike w:val="false"/>
          <w:color w:val="000000"/>
          <w:position w:val="0"/>
          <w:sz w:val="24"/>
          <w:sz w:val="24"/>
          <w:szCs w:val="24"/>
          <w:u w:val="none"/>
          <w:shd w:fill="auto" w:val="clear"/>
          <w:vertAlign w:val="baseline"/>
        </w:rPr>
        <w:t>Aggregated perceived likelihood of eradication over time, adjusted for sample selection and unadjusted.</w:t>
      </w:r>
    </w:p>
    <w:p>
      <w:pPr>
        <w:pStyle w:val="Normal"/>
        <w:keepNext w:val="false"/>
        <w:keepLines w:val="false"/>
        <w:widowControl/>
        <w:shd w:val="clear" w:fill="auto"/>
        <w:spacing w:lineRule="auto" w:line="480" w:before="0" w:after="120"/>
        <w:ind w:left="0" w:right="0" w:hanging="0"/>
        <w:jc w:val="left"/>
        <w:rPr>
          <w:i/>
          <w:i/>
        </w:rPr>
      </w:pPr>
      <w:r>
        <w:rPr>
          <w:i/>
        </w:rPr>
      </w:r>
      <w:bookmarkStart w:id="5" w:name="2et92p0"/>
      <w:bookmarkStart w:id="6" w:name="2et92p0"/>
      <w:bookmarkEnd w:id="6"/>
    </w:p>
    <w:p>
      <w:pPr>
        <w:pStyle w:val="Heading2"/>
        <w:spacing w:lineRule="auto" w:line="480" w:before="0" w:after="200"/>
        <w:rPr/>
      </w:pPr>
      <w:r>
        <w:rPr/>
        <w:t>Qualitative analysis of comments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Relative to non-commenters, commenters were more optimistic on average, but also more polarized in opinion.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 Descriptive comments also received sentiment polarity scores which were more negative than prescriptive comments, although again this difference did not reach the level of statistical significance (p = 0.18).</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heavy slant towards pharmaceutical options and vaccination.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 Along the same lines, one commenter wrote:</w:t>
      </w:r>
    </w:p>
    <w:p>
      <w:pPr>
        <w:pStyle w:val="Normal"/>
        <w:keepNext w:val="false"/>
        <w:keepLines w:val="false"/>
        <w:widowControl/>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pPr>
        <w:pStyle w:val="Normal"/>
        <w:keepNext w:val="false"/>
        <w:keepLines w:val="false"/>
        <w:widowControl/>
        <w:shd w:val="clear" w:fill="auto"/>
        <w:spacing w:lineRule="auto" w:line="480" w:before="180" w:after="180"/>
        <w:ind w:left="720" w:right="0" w:hanging="0"/>
        <w:jc w:val="left"/>
        <w:rPr>
          <w:i/>
          <w:i/>
        </w:rPr>
      </w:pPr>
      <w:r>
        <w:rPr>
          <w:i/>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commenters thought that the terms “eradication” and “malaria” were so complex and nebulous that the public health practitioners should avoid the them all together, so as to not repeat the mistakes of the WHO GMP in the 1950s. For example, some highlighted that talking about “malaria” as one disease misses the mark, since the different species of parasite and contexts in which they live make elimination in each area very distinct from other areas.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pPr>
        <w:pStyle w:val="Normal"/>
        <w:keepNext w:val="false"/>
        <w:keepLines w:val="false"/>
        <w:widowControl/>
        <w:shd w:val="clear" w:fill="auto"/>
        <w:spacing w:lineRule="auto" w:line="480" w:before="180" w:after="180"/>
        <w:ind w:left="720" w:right="0" w:hanging="0"/>
        <w:jc w:val="left"/>
        <w:rPr>
          <w:i/>
          <w:i/>
        </w:rPr>
      </w:pPr>
      <w:r>
        <w:rPr>
          <w:i/>
        </w:rPr>
        <w:t>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7" w:name="tyjcwt"/>
      <w:bookmarkEnd w:id="7"/>
    </w:p>
    <w:p>
      <w:pPr>
        <w:pStyle w:val="Heading1"/>
        <w:spacing w:lineRule="auto" w:line="480" w:before="0" w:after="200"/>
        <w:rPr/>
      </w:pPr>
      <w:r>
        <w:rPr/>
        <w:t>Discussion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Eradication of a disease is a “high stakes game”, exposed to multiple competing - and at times contradictory - incentives from multiple stakeholders (Barrett, 2007). Understanding these incentives, and the factors which can alter them, is vital to understanding how eradication can succeed, and where it is most vulnerable to failure. In fact, </w:t>
      </w:r>
      <w:r>
        <w:rPr/>
        <w:t>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isease </w:t>
      </w:r>
      <w:r>
        <w:rPr/>
        <w:t>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radication is a typi</w:t>
      </w:r>
      <w:r>
        <w:rPr/>
        <w:t>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 “failed” eradication; in areas of high endemicity, even if the goal of elimination is not achieved, the reduction in burden o</w:t>
      </w:r>
      <w:r>
        <w:rPr/>
        <w:t>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can still make interventions </w:t>
      </w:r>
      <w:r>
        <w:rPr/>
        <w:t>a great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This study did not endeavour to make this quantification.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8" w:name="3dy6vkm"/>
      <w:bookmarkEnd w:id="8"/>
    </w:p>
    <w:p>
      <w:pPr>
        <w:pStyle w:val="Heading2"/>
        <w:spacing w:lineRule="auto" w:line="480" w:before="0" w:after="200"/>
        <w:rPr/>
      </w:pPr>
      <w:r>
        <w:rPr/>
        <w:t>Limitations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bookmarkStart w:id="9" w:name="1t3h5sf"/>
      <w:bookmarkEnd w:id="9"/>
    </w:p>
    <w:p>
      <w:pPr>
        <w:pStyle w:val="Heading2"/>
        <w:spacing w:lineRule="auto" w:line="480" w:before="0" w:after="200"/>
        <w:rPr/>
      </w:pPr>
      <w:r>
        <w:rPr/>
        <w:t>Conclusion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bookmarkStart w:id="10" w:name="4d34og8"/>
      <w:bookmarkEnd w:id="10"/>
    </w:p>
    <w:p>
      <w:pPr>
        <w:pStyle w:val="Heading1"/>
        <w:spacing w:lineRule="auto" w:line="480" w:before="0" w:after="200"/>
        <w:rPr/>
      </w:pPr>
      <w:r>
        <w:rPr/>
        <w:t>References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1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https://doi.org/10.1016/s0140-6736(18)30324-6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1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https://doi.org/10.1016/j.jhealeco.2015.08.002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1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https://doi.org/10.1098/rstb.2012.0149</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1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https://doi.org/10.1007/s11127-006-9079-z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1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https://doi.org/10.1016/s2214-109x(17)30220-6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https://doi.org/10.1191/1478088706qp063oa</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https://doi.org/10.1016/s0140-6736(18)30911-5</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https://doi.org/10.1126/science.1251449</w:t>
        </w:r>
      </w:hyperlink>
    </w:p>
    <w:p>
      <w:pPr>
        <w:pStyle w:val="Normal"/>
        <w:widowControl w:val="false"/>
        <w:spacing w:lineRule="auto" w:line="480" w:before="240" w:after="0"/>
        <w:ind w:left="0" w:right="0" w:hanging="0"/>
        <w:rPr/>
      </w:pPr>
      <w:hyperlink r:id="rId18">
        <w:r>
          <w:rPr>
            <w:rStyle w:val="ListLabel13"/>
          </w:rPr>
          <w:t xml:space="preserve">Coelho, Camila Henriques, Justin Yai Alamou Doritchamou, Irfan Zaidi, and Patrick E. Duffy. 2017. “Advances in Malaria Vaccine Development: Report from the 2017 Malaria Vaccine Symposium.” </w:t>
        </w:r>
      </w:hyperlink>
      <w:hyperlink r:id="rId19">
        <w:r>
          <w:rPr>
            <w:rStyle w:val="ListLabel14"/>
            <w:i/>
          </w:rPr>
          <w:t>NPJ Vaccines</w:t>
        </w:r>
      </w:hyperlink>
      <w:hyperlink r:id="rId20">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2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https://doi.org/10.1257/app.2.2.72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2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https://doi.org/10.1186/1475-2875-13-486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2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https://doi.org/10.1038/075450a0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2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https://doi.org/10.1056/nejmra1200391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https://doi.org/10.1371/journal.pntd.0005934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https://doi.org/10.1371/journal.pntd.0004147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https://doi.org/10.1371/journal.pntd.0002562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https://doi.org/10.1136/bmjgh-2016-000158</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https://doi.org/10.1016/s0140-6736(11)61489-x</w:t>
        </w:r>
      </w:hyperlink>
    </w:p>
    <w:p>
      <w:pPr>
        <w:pStyle w:val="Normal"/>
        <w:widowControl w:val="false"/>
        <w:spacing w:lineRule="auto" w:line="480" w:before="0" w:after="240"/>
        <w:ind w:left="0" w:right="0" w:hanging="0"/>
        <w:rPr/>
      </w:pPr>
      <w:hyperlink r:id="rId30">
        <w:r>
          <w:rPr>
            <w:rStyle w:val="ListLabel13"/>
          </w:rPr>
          <w:t xml:space="preserve">Li, S. 2005. “A Web-Enabled Hybrid Approach to Strategic Marketing Planning: Group Delphi a Web-Based Expert System.” </w:t>
        </w:r>
      </w:hyperlink>
      <w:hyperlink r:id="rId31">
        <w:r>
          <w:rPr>
            <w:rStyle w:val="ListLabel14"/>
            <w:i/>
          </w:rPr>
          <w:t>Expert Systems with Applications</w:t>
        </w:r>
      </w:hyperlink>
      <w:hyperlink r:id="rId32">
        <w:r>
          <w:rPr>
            <w:rStyle w:val="ListLabel13"/>
          </w:rPr>
          <w:t xml:space="preserve"> 29 (2): 393–400.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3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https://doi.org/10.1073/pnas.1008636108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3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https://doi.org/10.1186/s12936-015-0787-z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https://doi.org/10.1037/a0036677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https://doi.org/10.7748/nr.22.2.16.e1272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https://doi.org/10.1073/pnas.1319946111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https://doi.org/10.1371/journal.pmed.1000412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https://doi.org/10.1136/bmjgh-2016-000176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4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https://doi.org/10.1371/journal.pmed.1002456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4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https://doi.org/10.1126/science.318.5856.1544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4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https://doi.org/10.1016/j.pt.2016.09.004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4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https://doi.org/10.1038/nature16040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4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https://doi.org/10.1186/s12916-014-0254-7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https://doi.org/10.1186/s12916-015-0384-6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https://doi.org/10.5430/jnep.v6n5p100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https://doi.org/10.1214/14-sts468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https://doi.org/10.1016/s0140-6736(13)60024-0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https://doi.org/10.1136/bmjgh-2016-000090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5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https://doi.org/10.1136/bmj.328.7448.1086</w:t>
        </w:r>
      </w:hyperlink>
    </w:p>
    <w:p>
      <w:pPr>
        <w:pStyle w:val="Normal"/>
        <w:keepNext w:val="false"/>
        <w:keepLines w:val="false"/>
        <w:widowControl w:val="false"/>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Heading1">
    <w:name w:val="Heading 1"/>
    <w:next w:val="Normal"/>
    <w:qFormat/>
    <w:pPr>
      <w:keepNext w:val="true"/>
      <w:keepLines/>
      <w:widowControl w:val="false"/>
      <w:spacing w:lineRule="auto" w:line="240" w:before="480" w:after="0"/>
    </w:pPr>
    <w:rPr>
      <w:rFonts w:ascii="Calibri" w:hAnsi="Calibri" w:eastAsia="Calibri" w:cs="Calibri"/>
      <w:b/>
      <w:color w:val="335B8A"/>
      <w:kern w:val="0"/>
      <w:sz w:val="32"/>
      <w:szCs w:val="32"/>
      <w:lang w:val="en-US" w:eastAsia="zh-CN" w:bidi="hi-IN"/>
    </w:rPr>
  </w:style>
  <w:style w:type="paragraph" w:styleId="Heading2">
    <w:name w:val="Heading 2"/>
    <w:next w:val="Normal"/>
    <w:qFormat/>
    <w:pPr>
      <w:keepNext w:val="true"/>
      <w:keepLines/>
      <w:widowControl w:val="false"/>
      <w:spacing w:lineRule="auto" w:line="240" w:before="200" w:after="0"/>
    </w:pPr>
    <w:rPr>
      <w:rFonts w:ascii="Calibri" w:hAnsi="Calibri" w:eastAsia="Calibri" w:cs="Calibri"/>
      <w:b/>
      <w:color w:val="4F81BD"/>
      <w:kern w:val="0"/>
      <w:sz w:val="32"/>
      <w:szCs w:val="32"/>
      <w:lang w:val="en-US" w:eastAsia="zh-CN" w:bidi="hi-IN"/>
    </w:rPr>
  </w:style>
  <w:style w:type="paragraph" w:styleId="Heading3">
    <w:name w:val="Heading 3"/>
    <w:next w:val="Normal"/>
    <w:qFormat/>
    <w:pPr>
      <w:keepNext w:val="true"/>
      <w:keepLines/>
      <w:widowControl w:val="false"/>
      <w:spacing w:lineRule="auto" w:line="240" w:before="200" w:after="0"/>
    </w:pPr>
    <w:rPr>
      <w:rFonts w:ascii="Calibri" w:hAnsi="Calibri" w:eastAsia="Calibri" w:cs="Calibri"/>
      <w:b/>
      <w:color w:val="4F81BD"/>
      <w:kern w:val="0"/>
      <w:sz w:val="28"/>
      <w:szCs w:val="28"/>
      <w:lang w:val="en-US" w:eastAsia="zh-CN" w:bidi="hi-IN"/>
    </w:rPr>
  </w:style>
  <w:style w:type="paragraph" w:styleId="Heading4">
    <w:name w:val="Heading 4"/>
    <w:next w:val="Normal"/>
    <w:qFormat/>
    <w:pPr>
      <w:keepNext w:val="true"/>
      <w:keepLines/>
      <w:widowControl w:val="false"/>
      <w:spacing w:lineRule="auto" w:line="240" w:before="200" w:after="0"/>
    </w:pPr>
    <w:rPr>
      <w:rFonts w:ascii="Calibri" w:hAnsi="Calibri" w:eastAsia="Calibri" w:cs="Calibri"/>
      <w:b/>
      <w:color w:val="4F81BD"/>
      <w:kern w:val="0"/>
      <w:sz w:val="24"/>
      <w:szCs w:val="24"/>
      <w:lang w:val="en-US" w:eastAsia="zh-CN" w:bidi="hi-IN"/>
    </w:rPr>
  </w:style>
  <w:style w:type="paragraph" w:styleId="Heading5">
    <w:name w:val="Heading 5"/>
    <w:next w:val="Normal"/>
    <w:qFormat/>
    <w:pPr>
      <w:keepNext w:val="true"/>
      <w:keepLines/>
      <w:widowControl w:val="false"/>
      <w:spacing w:lineRule="auto" w:line="240" w:before="200" w:after="0"/>
    </w:pPr>
    <w:rPr>
      <w:rFonts w:ascii="Calibri" w:hAnsi="Calibri" w:eastAsia="Calibri" w:cs="Calibri"/>
      <w:i/>
      <w:color w:val="4F81BD"/>
      <w:kern w:val="0"/>
      <w:sz w:val="24"/>
      <w:szCs w:val="24"/>
      <w:lang w:val="en-US" w:eastAsia="zh-CN" w:bidi="hi-IN"/>
    </w:rPr>
  </w:style>
  <w:style w:type="paragraph" w:styleId="Heading6">
    <w:name w:val="Heading 6"/>
    <w:next w:val="Normal"/>
    <w:qFormat/>
    <w:pPr>
      <w:keepNext w:val="true"/>
      <w:keepLines/>
      <w:widowControl w:val="false"/>
      <w:spacing w:lineRule="auto" w:line="240" w:before="200" w:after="0"/>
    </w:pPr>
    <w:rPr>
      <w:rFonts w:ascii="Calibri" w:hAnsi="Calibri" w:eastAsia="Calibri" w:cs="Calibri"/>
      <w:color w:val="4F81BD"/>
      <w:kern w:val="0"/>
      <w:sz w:val="24"/>
      <w:szCs w:val="24"/>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color w:val="1155CC"/>
      <w:u w:val="single"/>
    </w:rPr>
  </w:style>
  <w:style w:type="character" w:styleId="ListLabel29">
    <w:name w:val="ListLabel 29"/>
    <w:qFormat/>
    <w:rPr>
      <w:b w:val="false"/>
      <w:color w:val="000000"/>
      <w:u w:val="none"/>
    </w:rPr>
  </w:style>
  <w:style w:type="character" w:styleId="ListLabel30">
    <w:name w:val="ListLabel 30"/>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31">
    <w:name w:val="ListLabel 31"/>
    <w:qFormat/>
    <w:rPr/>
  </w:style>
  <w:style w:type="character" w:styleId="ListLabel32">
    <w:name w:val="ListLabel 32"/>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Onormal"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brew@gmail.com" TargetMode="External"/><Relationship Id="rId3" Type="http://schemas.openxmlformats.org/officeDocument/2006/relationships/image" Target="media/image1.png"/><Relationship Id="rId4" Type="http://schemas.openxmlformats.org/officeDocument/2006/relationships/hyperlink" Target="https://paperpile.com/c/8Z39XK/5PBG" TargetMode="External"/><Relationship Id="rId5" Type="http://schemas.openxmlformats.org/officeDocument/2006/relationships/hyperlink" Target="https://paperpile.com/c/8Z39XK/RUKW"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1371/journal.pmed.1000406" TargetMode="External"/><Relationship Id="rId10" Type="http://schemas.openxmlformats.org/officeDocument/2006/relationships/hyperlink" Target="https://doi.org/10.1016/s0140-6736(18)30324-6" TargetMode="External"/><Relationship Id="rId11" Type="http://schemas.openxmlformats.org/officeDocument/2006/relationships/hyperlink" Target="https://doi.org/10.1016/j.jhealeco.2015.08.002" TargetMode="External"/><Relationship Id="rId12" Type="http://schemas.openxmlformats.org/officeDocument/2006/relationships/hyperlink" Target="https://doi.org/10.1098/rstb.2012.0149" TargetMode="External"/><Relationship Id="rId13" Type="http://schemas.openxmlformats.org/officeDocument/2006/relationships/hyperlink" Target="https://doi.org/10.1007/s11127-006-9079-z" TargetMode="External"/><Relationship Id="rId14" Type="http://schemas.openxmlformats.org/officeDocument/2006/relationships/hyperlink" Target="https://doi.org/10.1016/s2214-109x(17)30220-6" TargetMode="External"/><Relationship Id="rId15" Type="http://schemas.openxmlformats.org/officeDocument/2006/relationships/hyperlink" Target="https://doi.org/10.1191/1478088706qp063oa" TargetMode="External"/><Relationship Id="rId16" Type="http://schemas.openxmlformats.org/officeDocument/2006/relationships/hyperlink" Target="https://doi.org/10.1016/s0140-6736(18)30911-5" TargetMode="External"/><Relationship Id="rId17" Type="http://schemas.openxmlformats.org/officeDocument/2006/relationships/hyperlink" Target="https://doi.org/10.1126/science.1251449" TargetMode="External"/><Relationship Id="rId18" Type="http://schemas.openxmlformats.org/officeDocument/2006/relationships/hyperlink" Target="http://paperpile.com/b/8Z39XK/5PBG" TargetMode="External"/><Relationship Id="rId19" Type="http://schemas.openxmlformats.org/officeDocument/2006/relationships/hyperlink" Target="http://paperpile.com/b/8Z39XK/5PBG" TargetMode="External"/><Relationship Id="rId20" Type="http://schemas.openxmlformats.org/officeDocument/2006/relationships/hyperlink" Target="http://paperpile.com/b/8Z39XK/5PBG" TargetMode="External"/><Relationship Id="rId21" Type="http://schemas.openxmlformats.org/officeDocument/2006/relationships/hyperlink" Target="https://doi.org/10.1257/app.2.2.72" TargetMode="External"/><Relationship Id="rId22" Type="http://schemas.openxmlformats.org/officeDocument/2006/relationships/hyperlink" Target="https://doi.org/10.1186/1475-2875-13-486" TargetMode="External"/><Relationship Id="rId23" Type="http://schemas.openxmlformats.org/officeDocument/2006/relationships/hyperlink" Target="https://doi.org/10.1038/075450a0" TargetMode="External"/><Relationship Id="rId24" Type="http://schemas.openxmlformats.org/officeDocument/2006/relationships/hyperlink" Target="https://doi.org/10.1056/nejmra1200391" TargetMode="External"/><Relationship Id="rId25" Type="http://schemas.openxmlformats.org/officeDocument/2006/relationships/hyperlink" Target="https://doi.org/10.1371/journal.pntd.0005934" TargetMode="External"/><Relationship Id="rId26" Type="http://schemas.openxmlformats.org/officeDocument/2006/relationships/hyperlink" Target="https://doi.org/10.1371/journal.pntd.0004147" TargetMode="External"/><Relationship Id="rId27" Type="http://schemas.openxmlformats.org/officeDocument/2006/relationships/hyperlink" Target="https://doi.org/10.1371/journal.pntd.0002562" TargetMode="External"/><Relationship Id="rId28" Type="http://schemas.openxmlformats.org/officeDocument/2006/relationships/hyperlink" Target="https://doi.org/10.1136/bmjgh-2016-000158" TargetMode="External"/><Relationship Id="rId29" Type="http://schemas.openxmlformats.org/officeDocument/2006/relationships/hyperlink" Target="https://doi.org/10.1016/s0140-6736(11)61489-x" TargetMode="External"/><Relationship Id="rId30" Type="http://schemas.openxmlformats.org/officeDocument/2006/relationships/hyperlink" Target="http://paperpile.com/b/8Z39XK/RUKW" TargetMode="External"/><Relationship Id="rId31" Type="http://schemas.openxmlformats.org/officeDocument/2006/relationships/hyperlink" Target="http://paperpile.com/b/8Z39XK/RUKW" TargetMode="External"/><Relationship Id="rId32" Type="http://schemas.openxmlformats.org/officeDocument/2006/relationships/hyperlink" Target="http://paperpile.com/b/8Z39XK/RUKW" TargetMode="External"/><Relationship Id="rId33" Type="http://schemas.openxmlformats.org/officeDocument/2006/relationships/hyperlink" Target="https://doi.org/10.1073/pnas.1008636108" TargetMode="External"/><Relationship Id="rId34" Type="http://schemas.openxmlformats.org/officeDocument/2006/relationships/hyperlink" Target="https://doi.org/10.1186/s12936-015-0787-z" TargetMode="External"/><Relationship Id="rId35" Type="http://schemas.openxmlformats.org/officeDocument/2006/relationships/hyperlink" Target="https://doi.org/10.1037/a0036677" TargetMode="External"/><Relationship Id="rId36" Type="http://schemas.openxmlformats.org/officeDocument/2006/relationships/hyperlink" Target="https://doi.org/10.7748/nr.22.2.16.e1272" TargetMode="External"/><Relationship Id="rId37" Type="http://schemas.openxmlformats.org/officeDocument/2006/relationships/hyperlink" Target="https://doi.org/10.1073/pnas.1319946111" TargetMode="External"/><Relationship Id="rId38" Type="http://schemas.openxmlformats.org/officeDocument/2006/relationships/hyperlink" Target="https://doi.org/10.1371/journal.pmed.1000412" TargetMode="External"/><Relationship Id="rId39" Type="http://schemas.openxmlformats.org/officeDocument/2006/relationships/hyperlink" Target="https://doi.org/10.1136/bmjgh-2016-000176" TargetMode="External"/><Relationship Id="rId40" Type="http://schemas.openxmlformats.org/officeDocument/2006/relationships/hyperlink" Target="https://doi.org/10.1371/journal.pmed.1002456" TargetMode="External"/><Relationship Id="rId41" Type="http://schemas.openxmlformats.org/officeDocument/2006/relationships/hyperlink" Target="https://doi.org/10.1126/science.318.5856.1544" TargetMode="External"/><Relationship Id="rId42" Type="http://schemas.openxmlformats.org/officeDocument/2006/relationships/hyperlink" Target="https://doi.org/10.1016/j.pt.2016.09.004" TargetMode="External"/><Relationship Id="rId43" Type="http://schemas.openxmlformats.org/officeDocument/2006/relationships/hyperlink" Target="https://doi.org/10.1038/nature16040" TargetMode="External"/><Relationship Id="rId44" Type="http://schemas.openxmlformats.org/officeDocument/2006/relationships/hyperlink" Target="https://doi.org/10.1186/s12916-014-0254-7" TargetMode="External"/><Relationship Id="rId45" Type="http://schemas.openxmlformats.org/officeDocument/2006/relationships/hyperlink" Target="https://doi.org/10.1186/s12916-015-0384-6" TargetMode="External"/><Relationship Id="rId46" Type="http://schemas.openxmlformats.org/officeDocument/2006/relationships/hyperlink" Target="https://doi.org/10.5430/jnep.v6n5p100" TargetMode="External"/><Relationship Id="rId47" Type="http://schemas.openxmlformats.org/officeDocument/2006/relationships/hyperlink" Target="https://doi.org/10.1214/14-sts468" TargetMode="External"/><Relationship Id="rId48" Type="http://schemas.openxmlformats.org/officeDocument/2006/relationships/hyperlink" Target="https://doi.org/10.1016/s0140-6736(13)60024-0" TargetMode="External"/><Relationship Id="rId49" Type="http://schemas.openxmlformats.org/officeDocument/2006/relationships/hyperlink" Target="https://doi.org/10.1136/bmjgh-2016-000090" TargetMode="External"/><Relationship Id="rId50" Type="http://schemas.openxmlformats.org/officeDocument/2006/relationships/hyperlink" Target="https://doi.org/10.1136/bmj.328.7448.1086"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28</Pages>
  <Words>6279</Words>
  <Characters>37569</Characters>
  <CharactersWithSpaces>43684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Joe Brew</cp:lastModifiedBy>
  <dcterms:modified xsi:type="dcterms:W3CDTF">2019-07-03T18:24:02Z</dcterms:modified>
  <cp:revision>2</cp:revision>
  <dc:subject/>
  <dc:title/>
</cp:coreProperties>
</file>