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Clarification on local IRB situation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are in the process of getting ethical committee approval from the Nepali Minsitry of Health (MoH), as is required both by the Stony Brook IRB as well as local Nepali regulations for health projects.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Ethical committee approval from the Nepali MoH will not be finalized until after SBU IRB approval. This is because the input from the SBU IRB can have implications on project scope and terms, as well as the terms of the agreements with implementing partners.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Accordingly, we request that the SBU IRB conditionally approve this project </w:t>
      </w:r>
      <w:r w:rsidDel="00000000" w:rsidR="00000000" w:rsidRPr="00000000">
        <w:rPr>
          <w:i w:val="1"/>
          <w:rtl w:val="0"/>
        </w:rPr>
        <w:t xml:space="preserve">prior to</w:t>
      </w:r>
      <w:r w:rsidDel="00000000" w:rsidR="00000000" w:rsidRPr="00000000">
        <w:rPr>
          <w:rtl w:val="0"/>
        </w:rPr>
        <w:t xml:space="preserve"> the explicit approval of the Nepali MoH’s ethical committee, since SBU IRB approval is required for Nepali MoH approval. It is acceptable if SBU IRB approval states this conditionality (ie, that the approval is not “active” or “applicable” until the Nepali MoH approves).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For questions or clarifications, please don’t hesitate to ask: Joe Brew (study coordinator) joebrew@gmail.com</w:t>
      </w:r>
    </w:p>
    <w:sectPr>
      <w:pgSz w:h="16838" w:w="11906"/>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