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2.png" ContentType="image/png"/>
  <Override PartName="/word/media/image1.png" ContentType="image/png"/>
  <Override PartName="/word/charts/chart3.xml" ContentType="application/vnd.openxmlformats-officedocument.drawingml.chart+xml"/>
  <Override PartName="/word/charts/chart2.xml" ContentType="application/vnd.openxmlformats-officedocument.drawingml.chart+xml"/>
  <Override PartName="/word/charts/chart1.xml" ContentType="application/vnd.openxmlformats-officedocument.drawingml.chart+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tLeast" w:line="400" w:before="120" w:after="120"/>
        <w:jc w:val="both"/>
        <w:rPr>
          <w:rFonts w:eastAsia="MingLiU" w:cs="Arial" w:ascii="Calibri" w:hAnsi="Calibri"/>
          <w:sz w:val="28"/>
          <w:szCs w:val="28"/>
          <w:lang w:val="en-GB"/>
        </w:rPr>
      </w:pPr>
      <w:r>
        <w:rPr>
          <w:rFonts w:eastAsia="MingLiU" w:cs="Arial" w:ascii="Calibri" w:hAnsi="Calibri"/>
          <w:b/>
          <w:sz w:val="28"/>
          <w:szCs w:val="28"/>
          <w:lang w:val="en-GB"/>
        </w:rPr>
        <w:t>Title</w:t>
      </w:r>
      <w:r>
        <w:rPr>
          <w:rFonts w:eastAsia="MingLiU" w:cs="Arial" w:ascii="Calibri" w:hAnsi="Calibri"/>
          <w:sz w:val="28"/>
          <w:szCs w:val="28"/>
          <w:lang w:val="en-GB"/>
        </w:rPr>
        <w:t>: “Tuberculosis on the rise: incidence risk from 1997 to 2012 in a southern province of Mozambique”</w:t>
      </w:r>
    </w:p>
    <w:p>
      <w:pPr>
        <w:pStyle w:val="Normal"/>
        <w:spacing w:lineRule="atLeast" w:line="400" w:before="120" w:after="120"/>
        <w:jc w:val="both"/>
        <w:rPr>
          <w:rFonts w:eastAsia="MingLiU" w:cs="Arial" w:ascii="Calibri" w:hAnsi="Calibri"/>
          <w:lang w:val="en-GB"/>
        </w:rPr>
      </w:pPr>
      <w:r>
        <w:rPr>
          <w:rFonts w:eastAsia="MingLiU" w:cs="Arial" w:ascii="Calibri" w:hAnsi="Calibri"/>
          <w:lang w:val="en-GB"/>
        </w:rPr>
      </w:r>
    </w:p>
    <w:p>
      <w:pPr>
        <w:pStyle w:val="Normal"/>
        <w:spacing w:lineRule="atLeast" w:line="400" w:before="120" w:after="120"/>
        <w:jc w:val="both"/>
        <w:rPr>
          <w:rFonts w:eastAsia="MingLiU" w:cs="Arial" w:ascii="Calibri" w:hAnsi="Calibri"/>
          <w:b/>
        </w:rPr>
      </w:pPr>
      <w:r>
        <w:rPr>
          <w:rFonts w:eastAsia="MingLiU" w:cs="Arial" w:ascii="Calibri" w:hAnsi="Calibri"/>
          <w:b/>
        </w:rPr>
        <w:t>Authors:</w:t>
      </w:r>
    </w:p>
    <w:p>
      <w:pPr>
        <w:pStyle w:val="Normal"/>
        <w:spacing w:lineRule="atLeast" w:line="400" w:before="120" w:after="120"/>
        <w:jc w:val="both"/>
        <w:rPr>
          <w:rFonts w:eastAsia="MingLiU" w:cs="Arial" w:ascii="Calibri" w:hAnsi="Calibri"/>
        </w:rPr>
      </w:pPr>
      <w:r>
        <w:rPr>
          <w:rFonts w:eastAsia="MingLiU" w:cs="Arial" w:ascii="Calibri" w:hAnsi="Calibri"/>
        </w:rPr>
        <w:t>Rafaela Miranda de Moraes Ribeiro, Ivan Manhiça, Salomé … Alberto García-Basteiro</w:t>
      </w:r>
    </w:p>
    <w:p>
      <w:pPr>
        <w:pStyle w:val="Normal"/>
        <w:spacing w:lineRule="atLeast" w:line="400" w:before="120" w:after="120"/>
        <w:jc w:val="both"/>
        <w:rPr>
          <w:rFonts w:eastAsia="MingLiU" w:cs="Arial" w:ascii="Calibri" w:hAnsi="Calibri"/>
        </w:rPr>
      </w:pPr>
      <w:r>
        <w:rPr>
          <w:rFonts w:eastAsia="MingLiU" w:cs="Arial" w:ascii="Calibri" w:hAnsi="Calibri"/>
        </w:rPr>
      </w:r>
    </w:p>
    <w:p>
      <w:pPr>
        <w:pStyle w:val="Normal"/>
        <w:spacing w:lineRule="atLeast" w:line="400" w:before="120" w:after="120"/>
        <w:jc w:val="both"/>
        <w:rPr>
          <w:rFonts w:eastAsia="MingLiU" w:cs="Arial" w:ascii="Calibri" w:hAnsi="Calibri"/>
        </w:rPr>
      </w:pPr>
      <w:r>
        <w:rPr>
          <w:rFonts w:eastAsia="MingLiU" w:cs="Arial" w:ascii="Calibri" w:hAnsi="Calibri"/>
          <w:b/>
        </w:rPr>
        <w:t>Authors afiliation</w:t>
      </w:r>
      <w:r>
        <w:rPr>
          <w:rFonts w:eastAsia="MingLiU" w:cs="Arial" w:ascii="Calibri" w:hAnsi="Calibri"/>
        </w:rPr>
        <w:t>:</w:t>
      </w:r>
    </w:p>
    <w:p>
      <w:pPr>
        <w:pStyle w:val="Normal"/>
        <w:spacing w:lineRule="atLeast" w:line="400" w:before="120" w:after="120"/>
        <w:jc w:val="both"/>
        <w:rPr>
          <w:rFonts w:eastAsia="MingLiU" w:cs="Arial" w:ascii="Calibri" w:hAnsi="Calibri"/>
        </w:rPr>
      </w:pPr>
      <w:r>
        <w:rPr>
          <w:rFonts w:eastAsia="MingLiU" w:cs="Arial" w:ascii="Calibri" w:hAnsi="Calibri"/>
        </w:rPr>
        <w:t>Instituto de Higiene e Medicina Tropical, Lisboa, Portugal</w:t>
      </w:r>
    </w:p>
    <w:p>
      <w:pPr>
        <w:pStyle w:val="Normal"/>
        <w:spacing w:lineRule="atLeast" w:line="400" w:before="120" w:after="120"/>
        <w:jc w:val="both"/>
        <w:rPr>
          <w:rFonts w:eastAsia="MingLiU" w:cs="Arial" w:ascii="Calibri" w:hAnsi="Calibri"/>
        </w:rPr>
      </w:pPr>
      <w:r>
        <w:rPr>
          <w:rFonts w:eastAsia="MingLiU" w:cs="Arial" w:ascii="Calibri" w:hAnsi="Calibri"/>
        </w:rPr>
        <w:t>Centro de Investigação em Saúde de Manhiça (CISM)</w:t>
      </w:r>
    </w:p>
    <w:p>
      <w:pPr>
        <w:pStyle w:val="Normal"/>
        <w:spacing w:lineRule="atLeast" w:line="400" w:before="120" w:after="120"/>
        <w:jc w:val="both"/>
        <w:rPr>
          <w:rFonts w:eastAsia="MingLiU" w:cs="Arial" w:ascii="Calibri" w:hAnsi="Calibri"/>
        </w:rPr>
      </w:pPr>
      <w:r>
        <w:rPr>
          <w:rFonts w:eastAsia="MingLiU" w:cs="Arial" w:ascii="Calibri" w:hAnsi="Calibri"/>
        </w:rPr>
        <w:t>ISGlobal, Barcelona, Hospital Clinic-Universitat de Barcelona</w:t>
      </w:r>
    </w:p>
    <w:p>
      <w:pPr>
        <w:pStyle w:val="Normal"/>
        <w:spacing w:lineRule="atLeast" w:line="400" w:before="120" w:after="120"/>
        <w:jc w:val="both"/>
        <w:rPr>
          <w:rFonts w:eastAsia="MingLiU" w:cs="Arial" w:ascii="Calibri" w:hAnsi="Calibri"/>
          <w:lang w:val="en-US"/>
        </w:rPr>
      </w:pPr>
      <w:r>
        <w:rPr>
          <w:rFonts w:eastAsia="MingLiU" w:cs="Arial" w:ascii="Calibri" w:hAnsi="Calibri"/>
          <w:lang w:val="en-US"/>
        </w:rPr>
        <w:t>Ministry of Health, National Tuberculosis Program, Maputo, Mozambique</w:t>
      </w:r>
    </w:p>
    <w:p>
      <w:pPr>
        <w:pStyle w:val="Normal"/>
        <w:spacing w:lineRule="atLeast" w:line="400" w:before="120" w:after="120"/>
        <w:jc w:val="both"/>
        <w:rPr>
          <w:rFonts w:eastAsia="MingLiU" w:cs="Arial" w:ascii="Calibri" w:hAnsi="Calibri"/>
          <w:lang w:val="en-US"/>
        </w:rPr>
      </w:pPr>
      <w:r>
        <w:rPr>
          <w:rFonts w:eastAsia="MingLiU" w:cs="Arial" w:ascii="Calibri" w:hAnsi="Calibri"/>
          <w:lang w:val="en-US"/>
        </w:rPr>
      </w:r>
    </w:p>
    <w:p>
      <w:pPr>
        <w:pStyle w:val="Normal"/>
        <w:spacing w:lineRule="atLeast" w:line="400" w:before="120" w:after="120"/>
        <w:jc w:val="both"/>
        <w:rPr>
          <w:rFonts w:eastAsia="MingLiU" w:cs="Arial" w:ascii="Calibri" w:hAnsi="Calibri"/>
        </w:rPr>
      </w:pPr>
      <w:r>
        <w:rPr>
          <w:rFonts w:eastAsia="MingLiU" w:cs="Arial" w:ascii="Calibri" w:hAnsi="Calibri"/>
          <w:b/>
        </w:rPr>
        <w:t>Corresponding author</w:t>
      </w:r>
      <w:r>
        <w:rPr>
          <w:rFonts w:eastAsia="MingLiU" w:cs="Arial" w:ascii="Calibri" w:hAnsi="Calibri"/>
        </w:rPr>
        <w:t xml:space="preserve">: </w:t>
      </w:r>
    </w:p>
    <w:p>
      <w:pPr>
        <w:pStyle w:val="Normal"/>
        <w:spacing w:lineRule="atLeast" w:line="400" w:before="120" w:after="120"/>
        <w:jc w:val="both"/>
        <w:rPr>
          <w:rFonts w:eastAsia="MingLiU" w:cs="Arial" w:ascii="Calibri" w:hAnsi="Calibri"/>
        </w:rPr>
      </w:pPr>
      <w:r>
        <w:rPr>
          <w:rFonts w:eastAsia="MingLiU" w:cs="Arial" w:ascii="Calibri" w:hAnsi="Calibri"/>
        </w:rPr>
        <w:t>Alberto L García-Basteiro</w:t>
      </w:r>
    </w:p>
    <w:p>
      <w:pPr>
        <w:pStyle w:val="Normal"/>
        <w:spacing w:lineRule="atLeast" w:line="400" w:before="120" w:after="120"/>
        <w:jc w:val="both"/>
        <w:rPr>
          <w:rFonts w:eastAsia="MingLiU" w:cs="Arial" w:ascii="Calibri" w:hAnsi="Calibri"/>
          <w:lang w:val="en-US"/>
        </w:rPr>
      </w:pPr>
      <w:r>
        <w:rPr>
          <w:rFonts w:eastAsia="MingLiU" w:cs="Arial" w:ascii="Calibri" w:hAnsi="Calibri"/>
          <w:lang w:val="en-US"/>
        </w:rPr>
        <w:t>Email: alberto.garcia-basteiro@manhica.net</w:t>
      </w:r>
    </w:p>
    <w:p>
      <w:pPr>
        <w:pStyle w:val="Normal"/>
        <w:spacing w:lineRule="atLeast" w:line="400" w:before="120" w:after="120"/>
        <w:jc w:val="both"/>
        <w:rPr>
          <w:rFonts w:eastAsia="MingLiU" w:cs="Arial" w:ascii="Calibri" w:hAnsi="Calibri"/>
          <w:lang w:val="en-US"/>
        </w:rPr>
      </w:pPr>
      <w:r>
        <w:rPr>
          <w:rFonts w:eastAsia="MingLiU" w:cs="Arial" w:ascii="Calibri" w:hAnsi="Calibri"/>
          <w:lang w:val="en-US"/>
        </w:rPr>
      </w:r>
    </w:p>
    <w:p>
      <w:pPr>
        <w:pStyle w:val="Normal"/>
        <w:spacing w:lineRule="atLeast" w:line="400" w:before="120" w:after="120"/>
        <w:jc w:val="both"/>
        <w:rPr>
          <w:rFonts w:eastAsia="MingLiU" w:cs="Arial" w:ascii="Calibri" w:hAnsi="Calibri"/>
          <w:b/>
          <w:lang w:val="en-US"/>
        </w:rPr>
      </w:pPr>
      <w:r>
        <w:rPr>
          <w:rFonts w:eastAsia="MingLiU" w:cs="Arial" w:ascii="Calibri" w:hAnsi="Calibri"/>
          <w:b/>
          <w:lang w:val="en-US"/>
        </w:rPr>
        <w:t xml:space="preserve">Keywords: </w:t>
      </w:r>
    </w:p>
    <w:p>
      <w:pPr>
        <w:pStyle w:val="Normal"/>
        <w:spacing w:lineRule="atLeast" w:line="400" w:before="120" w:after="120"/>
        <w:jc w:val="both"/>
        <w:rPr>
          <w:rFonts w:eastAsia="MingLiU" w:cs="Arial" w:ascii="Calibri" w:hAnsi="Calibri"/>
          <w:lang w:val="en-US"/>
        </w:rPr>
      </w:pPr>
      <w:r>
        <w:rPr>
          <w:rFonts w:eastAsia="MingLiU" w:cs="Arial" w:ascii="Calibri" w:hAnsi="Calibri"/>
          <w:lang w:val="en-US"/>
        </w:rPr>
        <w:t>Incidence risk, tuberculosis, Mozambique, Manhiça</w:t>
      </w:r>
    </w:p>
    <w:p>
      <w:pPr>
        <w:pStyle w:val="Normal"/>
        <w:spacing w:lineRule="atLeast" w:line="400" w:before="120" w:after="120"/>
        <w:jc w:val="both"/>
        <w:rPr>
          <w:rFonts w:eastAsia="MingLiU" w:cs="Arial" w:ascii="Calibri" w:hAnsi="Calibri"/>
          <w:lang w:val="en-US"/>
        </w:rPr>
      </w:pPr>
      <w:r>
        <w:rPr>
          <w:rFonts w:eastAsia="MingLiU" w:cs="Arial" w:ascii="Calibri" w:hAnsi="Calibri"/>
          <w:lang w:val="en-US"/>
        </w:rPr>
      </w:r>
    </w:p>
    <w:p>
      <w:pPr>
        <w:pStyle w:val="Normal"/>
        <w:spacing w:lineRule="atLeast" w:line="400" w:before="120" w:after="120"/>
        <w:jc w:val="both"/>
        <w:rPr>
          <w:rFonts w:eastAsia="MingLiU" w:cs="Arial" w:ascii="Calibri" w:hAnsi="Calibri"/>
          <w:b/>
          <w:lang w:val="en-US"/>
        </w:rPr>
      </w:pPr>
      <w:r>
        <w:rPr>
          <w:rFonts w:eastAsia="MingLiU" w:cs="Arial" w:ascii="Calibri" w:hAnsi="Calibri"/>
          <w:b/>
          <w:lang w:val="en-US"/>
        </w:rPr>
        <w:t>Word count:</w:t>
      </w:r>
    </w:p>
    <w:p>
      <w:pPr>
        <w:pStyle w:val="Normal"/>
        <w:spacing w:lineRule="atLeast" w:line="400" w:before="120" w:after="120"/>
        <w:jc w:val="both"/>
        <w:rPr>
          <w:rFonts w:eastAsia="MingLiU" w:cs="Arial" w:ascii="Calibri" w:hAnsi="Calibri"/>
          <w:lang w:val="en-US"/>
        </w:rPr>
      </w:pPr>
      <w:r>
        <w:rPr>
          <w:rFonts w:eastAsia="MingLiU" w:cs="Arial" w:ascii="Calibri" w:hAnsi="Calibri"/>
          <w:lang w:val="en-US"/>
        </w:rPr>
      </w:r>
    </w:p>
    <w:p>
      <w:pPr>
        <w:pStyle w:val="Normal"/>
        <w:spacing w:lineRule="atLeast" w:line="400" w:before="120" w:after="120"/>
        <w:jc w:val="both"/>
        <w:rPr>
          <w:rFonts w:eastAsia="MingLiU" w:cs="Arial" w:ascii="Calibri" w:hAnsi="Calibri"/>
          <w:lang w:val="en-US"/>
        </w:rPr>
      </w:pPr>
      <w:r>
        <w:rPr>
          <w:rFonts w:eastAsia="MingLiU" w:cs="Arial" w:ascii="Calibri" w:hAnsi="Calibri"/>
          <w:lang w:val="en-US"/>
        </w:rPr>
      </w:r>
    </w:p>
    <w:p>
      <w:pPr>
        <w:pStyle w:val="Normal"/>
        <w:spacing w:lineRule="atLeast" w:line="400" w:before="120" w:after="120"/>
        <w:jc w:val="both"/>
        <w:rPr>
          <w:rFonts w:eastAsia="MingLiU" w:cs="Arial" w:ascii="Calibri" w:hAnsi="Calibri"/>
          <w:lang w:val="en-US"/>
        </w:rPr>
      </w:pPr>
      <w:r>
        <w:rPr>
          <w:rFonts w:eastAsia="MingLiU" w:cs="Arial" w:ascii="Calibri" w:hAnsi="Calibri"/>
          <w:lang w:val="en-US"/>
        </w:rPr>
      </w:r>
    </w:p>
    <w:p>
      <w:pPr>
        <w:pStyle w:val="Normal"/>
        <w:spacing w:lineRule="atLeast" w:line="400" w:before="120" w:after="120"/>
        <w:jc w:val="both"/>
        <w:rPr>
          <w:rFonts w:eastAsia="MingLiU" w:cs="Arial" w:ascii="Calibri" w:hAnsi="Calibri"/>
          <w:lang w:val="en-US"/>
        </w:rPr>
      </w:pPr>
      <w:r>
        <w:rPr>
          <w:rFonts w:eastAsia="MingLiU" w:cs="Arial" w:ascii="Calibri" w:hAnsi="Calibri"/>
          <w:lang w:val="en-US"/>
        </w:rPr>
      </w:r>
    </w:p>
    <w:p>
      <w:pPr>
        <w:pStyle w:val="Normal"/>
        <w:spacing w:lineRule="atLeast" w:line="400" w:before="120" w:after="120"/>
        <w:jc w:val="both"/>
        <w:rPr>
          <w:rFonts w:eastAsia="MingLiU" w:cs="Arial" w:ascii="Calibri" w:hAnsi="Calibri"/>
          <w:lang w:val="en-US"/>
        </w:rPr>
      </w:pPr>
      <w:r>
        <w:rPr>
          <w:rFonts w:eastAsia="MingLiU" w:cs="Arial" w:ascii="Calibri" w:hAnsi="Calibri"/>
          <w:lang w:val="en-US"/>
        </w:rPr>
      </w:r>
    </w:p>
    <w:p>
      <w:pPr>
        <w:pStyle w:val="Normal"/>
        <w:spacing w:lineRule="atLeast" w:line="400" w:before="120" w:after="120"/>
        <w:jc w:val="both"/>
        <w:rPr>
          <w:rFonts w:eastAsia="MingLiU" w:cs="Arial" w:ascii="Calibri" w:hAnsi="Calibri"/>
          <w:lang w:val="en-US"/>
        </w:rPr>
      </w:pPr>
      <w:r>
        <w:rPr>
          <w:rFonts w:eastAsia="MingLiU" w:cs="Arial" w:ascii="Calibri" w:hAnsi="Calibri"/>
          <w:lang w:val="en-US"/>
        </w:rPr>
      </w:r>
    </w:p>
    <w:p>
      <w:pPr>
        <w:pStyle w:val="Normal"/>
        <w:spacing w:lineRule="atLeast" w:line="400" w:before="120" w:after="120"/>
        <w:jc w:val="both"/>
        <w:rPr>
          <w:rFonts w:eastAsia="MingLiU" w:cs="Arial" w:ascii="Calibri" w:hAnsi="Calibri"/>
          <w:lang w:val="en-US"/>
        </w:rPr>
      </w:pPr>
      <w:r>
        <w:rPr>
          <w:rFonts w:eastAsia="MingLiU" w:cs="Arial" w:ascii="Calibri" w:hAnsi="Calibri"/>
          <w:lang w:val="en-US"/>
        </w:rPr>
      </w:r>
    </w:p>
    <w:p>
      <w:pPr>
        <w:pStyle w:val="Normal"/>
        <w:spacing w:lineRule="atLeast" w:line="400" w:before="120" w:after="120"/>
        <w:jc w:val="both"/>
        <w:rPr>
          <w:rFonts w:eastAsia="MingLiU" w:cs="Arial" w:ascii="Calibri" w:hAnsi="Calibri"/>
          <w:b/>
          <w:lang w:val="en-US"/>
        </w:rPr>
      </w:pPr>
      <w:r>
        <w:rPr>
          <w:rFonts w:eastAsia="MingLiU" w:cs="Arial" w:ascii="Calibri" w:hAnsi="Calibri"/>
          <w:b/>
          <w:lang w:val="en-US"/>
        </w:rPr>
        <w:t>ABSTRACT:</w:t>
      </w:r>
    </w:p>
    <w:p>
      <w:pPr>
        <w:pStyle w:val="Normal"/>
        <w:spacing w:lineRule="atLeast" w:line="400" w:before="120" w:after="120"/>
        <w:jc w:val="both"/>
        <w:rPr>
          <w:rFonts w:eastAsia="MingLiU" w:cs="Arial" w:ascii="Calibri" w:hAnsi="Calibri"/>
          <w:lang w:val="en-US"/>
        </w:rPr>
      </w:pPr>
      <w:r>
        <w:rPr>
          <w:rFonts w:eastAsia="MingLiU" w:cs="Arial" w:ascii="Calibri" w:hAnsi="Calibri"/>
          <w:lang w:val="en-US"/>
        </w:rPr>
      </w:r>
    </w:p>
    <w:p>
      <w:pPr>
        <w:pStyle w:val="Normal"/>
        <w:spacing w:lineRule="atLeast" w:line="400" w:before="120" w:after="120"/>
        <w:jc w:val="both"/>
        <w:rPr>
          <w:rFonts w:eastAsia="MingLiU" w:cs="Arial" w:ascii="Calibri" w:hAnsi="Calibri"/>
          <w:u w:val="single"/>
          <w:lang w:val="en-US"/>
        </w:rPr>
      </w:pPr>
      <w:r>
        <w:rPr>
          <w:rFonts w:eastAsia="MingLiU" w:cs="Arial" w:ascii="Calibri" w:hAnsi="Calibri"/>
          <w:u w:val="single"/>
          <w:lang w:val="en-US"/>
        </w:rPr>
        <w:t>Objectives:</w:t>
      </w:r>
    </w:p>
    <w:p>
      <w:pPr>
        <w:pStyle w:val="Normal"/>
        <w:spacing w:lineRule="atLeast" w:line="400" w:before="120" w:after="120"/>
        <w:jc w:val="both"/>
        <w:rPr>
          <w:rFonts w:eastAsia="MingLiU" w:cs="Arial" w:ascii="Calibri" w:hAnsi="Calibri"/>
          <w:u w:val="single"/>
          <w:lang w:val="en-US"/>
        </w:rPr>
      </w:pPr>
      <w:r>
        <w:rPr>
          <w:rFonts w:eastAsia="MingLiU" w:cs="Arial" w:ascii="Calibri" w:hAnsi="Calibri"/>
          <w:u w:val="single"/>
          <w:lang w:val="en-US"/>
        </w:rPr>
      </w:r>
    </w:p>
    <w:p>
      <w:pPr>
        <w:pStyle w:val="Normal"/>
        <w:spacing w:lineRule="atLeast" w:line="400" w:before="120" w:after="120"/>
        <w:jc w:val="both"/>
        <w:rPr>
          <w:rFonts w:eastAsia="MingLiU" w:cs="Arial" w:ascii="Calibri" w:hAnsi="Calibri"/>
          <w:u w:val="single"/>
          <w:lang w:val="en-US"/>
        </w:rPr>
      </w:pPr>
      <w:r>
        <w:rPr>
          <w:rFonts w:eastAsia="MingLiU" w:cs="Arial" w:ascii="Calibri" w:hAnsi="Calibri"/>
          <w:u w:val="single"/>
          <w:lang w:val="en-US"/>
        </w:rPr>
        <w:t xml:space="preserve">Methods: </w:t>
      </w:r>
    </w:p>
    <w:p>
      <w:pPr>
        <w:pStyle w:val="Normal"/>
        <w:spacing w:lineRule="atLeast" w:line="400" w:before="120" w:after="120"/>
        <w:jc w:val="both"/>
        <w:rPr>
          <w:rFonts w:eastAsia="MingLiU" w:cs="Arial" w:ascii="Calibri" w:hAnsi="Calibri"/>
          <w:u w:val="single"/>
          <w:lang w:val="en-US"/>
        </w:rPr>
      </w:pPr>
      <w:r>
        <w:rPr>
          <w:rFonts w:eastAsia="MingLiU" w:cs="Arial" w:ascii="Calibri" w:hAnsi="Calibri"/>
          <w:u w:val="single"/>
          <w:lang w:val="en-US"/>
        </w:rPr>
      </w:r>
    </w:p>
    <w:p>
      <w:pPr>
        <w:pStyle w:val="Normal"/>
        <w:spacing w:lineRule="atLeast" w:line="400" w:before="120" w:after="120"/>
        <w:jc w:val="both"/>
        <w:rPr>
          <w:rFonts w:eastAsia="MingLiU" w:cs="Arial" w:ascii="Calibri" w:hAnsi="Calibri"/>
          <w:u w:val="single"/>
          <w:lang w:val="en-US"/>
        </w:rPr>
      </w:pPr>
      <w:r>
        <w:rPr>
          <w:rFonts w:eastAsia="MingLiU" w:cs="Arial" w:ascii="Calibri" w:hAnsi="Calibri"/>
          <w:u w:val="single"/>
          <w:lang w:val="en-US"/>
        </w:rPr>
        <w:t>Results:</w:t>
      </w:r>
    </w:p>
    <w:p>
      <w:pPr>
        <w:pStyle w:val="Normal"/>
        <w:spacing w:lineRule="atLeast" w:line="400" w:before="120" w:after="120"/>
        <w:jc w:val="both"/>
        <w:rPr>
          <w:rFonts w:eastAsia="MingLiU" w:cs="Arial" w:ascii="Calibri" w:hAnsi="Calibri"/>
          <w:u w:val="single"/>
          <w:lang w:val="en-US"/>
        </w:rPr>
      </w:pPr>
      <w:r>
        <w:rPr>
          <w:rFonts w:eastAsia="MingLiU" w:cs="Arial" w:ascii="Calibri" w:hAnsi="Calibri"/>
          <w:u w:val="single"/>
          <w:lang w:val="en-US"/>
        </w:rPr>
      </w:r>
    </w:p>
    <w:p>
      <w:pPr>
        <w:pStyle w:val="Normal"/>
        <w:spacing w:lineRule="atLeast" w:line="400" w:before="120" w:after="120"/>
        <w:jc w:val="both"/>
        <w:rPr>
          <w:rFonts w:eastAsia="MingLiU" w:cs="Arial" w:ascii="Calibri" w:hAnsi="Calibri"/>
          <w:u w:val="single"/>
          <w:lang w:val="en-US"/>
        </w:rPr>
      </w:pPr>
      <w:r>
        <w:rPr>
          <w:rFonts w:eastAsia="MingLiU" w:cs="Arial" w:ascii="Calibri" w:hAnsi="Calibri"/>
          <w:u w:val="single"/>
          <w:lang w:val="en-US"/>
        </w:rPr>
        <w:t>Conclusion:</w:t>
      </w:r>
    </w:p>
    <w:p>
      <w:pPr>
        <w:pStyle w:val="Normal"/>
        <w:spacing w:lineRule="atLeast" w:line="400" w:before="120" w:after="120"/>
        <w:jc w:val="both"/>
        <w:rPr>
          <w:rFonts w:eastAsia="MingLiU" w:cs="Arial" w:ascii="Calibri" w:hAnsi="Calibri"/>
          <w:lang w:val="en-US"/>
        </w:rPr>
      </w:pPr>
      <w:r>
        <w:rPr>
          <w:rFonts w:eastAsia="MingLiU" w:cs="Arial" w:ascii="Calibri" w:hAnsi="Calibri"/>
          <w:lang w:val="en-US"/>
        </w:rPr>
      </w:r>
    </w:p>
    <w:p>
      <w:pPr>
        <w:pStyle w:val="Normal"/>
        <w:spacing w:lineRule="atLeast" w:line="400" w:before="120" w:after="120"/>
        <w:jc w:val="both"/>
        <w:rPr>
          <w:rFonts w:eastAsia="MingLiU" w:cs="Arial" w:ascii="Calibri" w:hAnsi="Calibri"/>
          <w:lang w:val="en-US"/>
        </w:rPr>
      </w:pPr>
      <w:r>
        <w:rPr>
          <w:rFonts w:eastAsia="MingLiU" w:cs="Arial" w:ascii="Calibri" w:hAnsi="Calibri"/>
          <w:lang w:val="en-US"/>
        </w:rPr>
      </w:r>
    </w:p>
    <w:p>
      <w:pPr>
        <w:pStyle w:val="Normal"/>
        <w:spacing w:lineRule="atLeast" w:line="400" w:before="120" w:after="120"/>
        <w:jc w:val="both"/>
        <w:rPr>
          <w:rFonts w:eastAsia="MingLiU" w:cs="Arial" w:ascii="Calibri" w:hAnsi="Calibri"/>
          <w:lang w:val="en-US"/>
        </w:rPr>
      </w:pPr>
      <w:r>
        <w:rPr>
          <w:rFonts w:eastAsia="MingLiU" w:cs="Arial" w:ascii="Calibri" w:hAnsi="Calibri"/>
          <w:lang w:val="en-US"/>
        </w:rPr>
      </w:r>
    </w:p>
    <w:p>
      <w:pPr>
        <w:pStyle w:val="Normal"/>
        <w:spacing w:lineRule="atLeast" w:line="400" w:before="120" w:after="120"/>
        <w:jc w:val="both"/>
        <w:rPr>
          <w:rFonts w:eastAsia="MingLiU" w:cs="Arial" w:ascii="Calibri" w:hAnsi="Calibri"/>
          <w:lang w:val="en-US"/>
        </w:rPr>
      </w:pPr>
      <w:r>
        <w:rPr>
          <w:rFonts w:eastAsia="MingLiU" w:cs="Arial" w:ascii="Calibri" w:hAnsi="Calibri"/>
          <w:lang w:val="en-US"/>
        </w:rPr>
      </w:r>
    </w:p>
    <w:p>
      <w:pPr>
        <w:pStyle w:val="Normal"/>
        <w:spacing w:lineRule="atLeast" w:line="400" w:before="120" w:after="120"/>
        <w:jc w:val="both"/>
        <w:rPr>
          <w:rFonts w:eastAsia="MingLiU" w:cs="Arial" w:ascii="Calibri" w:hAnsi="Calibri"/>
          <w:lang w:val="en-US"/>
        </w:rPr>
      </w:pPr>
      <w:r>
        <w:rPr>
          <w:rFonts w:eastAsia="MingLiU" w:cs="Arial" w:ascii="Calibri" w:hAnsi="Calibri"/>
          <w:lang w:val="en-US"/>
        </w:rPr>
      </w:r>
    </w:p>
    <w:p>
      <w:pPr>
        <w:pStyle w:val="Normal"/>
        <w:spacing w:lineRule="atLeast" w:line="400" w:before="120" w:after="120"/>
        <w:jc w:val="both"/>
        <w:rPr>
          <w:rFonts w:eastAsia="MingLiU" w:cs="Arial" w:ascii="Calibri" w:hAnsi="Calibri"/>
          <w:lang w:val="en-US"/>
        </w:rPr>
      </w:pPr>
      <w:r>
        <w:rPr>
          <w:rFonts w:eastAsia="MingLiU" w:cs="Arial" w:ascii="Calibri" w:hAnsi="Calibri"/>
          <w:lang w:val="en-US"/>
        </w:rPr>
      </w:r>
    </w:p>
    <w:p>
      <w:pPr>
        <w:pStyle w:val="Normal"/>
        <w:spacing w:lineRule="atLeast" w:line="400" w:before="120" w:after="120"/>
        <w:jc w:val="both"/>
        <w:rPr>
          <w:rFonts w:eastAsia="MingLiU" w:cs="Arial" w:ascii="Calibri" w:hAnsi="Calibri"/>
          <w:lang w:val="en-US"/>
        </w:rPr>
      </w:pPr>
      <w:r>
        <w:rPr>
          <w:rFonts w:eastAsia="MingLiU" w:cs="Arial" w:ascii="Calibri" w:hAnsi="Calibri"/>
          <w:lang w:val="en-US"/>
        </w:rPr>
      </w:r>
    </w:p>
    <w:p>
      <w:pPr>
        <w:pStyle w:val="Normal"/>
        <w:spacing w:lineRule="atLeast" w:line="400" w:before="120" w:after="120"/>
        <w:jc w:val="both"/>
        <w:rPr>
          <w:rFonts w:eastAsia="MingLiU" w:cs="Arial" w:ascii="Calibri" w:hAnsi="Calibri"/>
          <w:lang w:val="en-US"/>
        </w:rPr>
      </w:pPr>
      <w:r>
        <w:rPr>
          <w:rFonts w:eastAsia="MingLiU" w:cs="Arial" w:ascii="Calibri" w:hAnsi="Calibri"/>
          <w:lang w:val="en-US"/>
        </w:rPr>
      </w:r>
    </w:p>
    <w:p>
      <w:pPr>
        <w:pStyle w:val="Normal"/>
        <w:spacing w:lineRule="atLeast" w:line="400" w:before="120" w:after="120"/>
        <w:jc w:val="both"/>
        <w:rPr>
          <w:rFonts w:eastAsia="MingLiU" w:cs="Arial" w:ascii="Calibri" w:hAnsi="Calibri"/>
          <w:lang w:val="en-US"/>
        </w:rPr>
      </w:pPr>
      <w:r>
        <w:rPr>
          <w:rFonts w:eastAsia="MingLiU" w:cs="Arial" w:ascii="Calibri" w:hAnsi="Calibri"/>
          <w:lang w:val="en-US"/>
        </w:rPr>
      </w:r>
    </w:p>
    <w:p>
      <w:pPr>
        <w:pStyle w:val="Normal"/>
        <w:spacing w:lineRule="atLeast" w:line="400" w:before="120" w:after="120"/>
        <w:jc w:val="both"/>
        <w:rPr>
          <w:rFonts w:eastAsia="MingLiU" w:cs="Arial" w:ascii="Calibri" w:hAnsi="Calibri"/>
          <w:lang w:val="en-US"/>
        </w:rPr>
      </w:pPr>
      <w:r>
        <w:rPr>
          <w:rFonts w:eastAsia="MingLiU" w:cs="Arial" w:ascii="Calibri" w:hAnsi="Calibri"/>
          <w:lang w:val="en-US"/>
        </w:rPr>
      </w:r>
    </w:p>
    <w:p>
      <w:pPr>
        <w:pStyle w:val="Normal"/>
        <w:spacing w:lineRule="atLeast" w:line="400" w:before="120" w:after="120"/>
        <w:jc w:val="both"/>
        <w:rPr>
          <w:rFonts w:eastAsia="MingLiU" w:cs="Arial" w:ascii="Calibri" w:hAnsi="Calibri"/>
          <w:lang w:val="en-US"/>
        </w:rPr>
      </w:pPr>
      <w:r>
        <w:rPr>
          <w:rFonts w:eastAsia="MingLiU" w:cs="Arial" w:ascii="Calibri" w:hAnsi="Calibri"/>
          <w:lang w:val="en-US"/>
        </w:rPr>
      </w:r>
    </w:p>
    <w:p>
      <w:pPr>
        <w:pStyle w:val="Normal"/>
        <w:spacing w:lineRule="atLeast" w:line="400" w:before="120" w:after="120"/>
        <w:jc w:val="both"/>
        <w:rPr>
          <w:rFonts w:eastAsia="MingLiU" w:cs="Arial" w:ascii="Calibri" w:hAnsi="Calibri"/>
          <w:lang w:val="en-US"/>
        </w:rPr>
      </w:pPr>
      <w:r>
        <w:rPr>
          <w:rFonts w:eastAsia="MingLiU" w:cs="Arial" w:ascii="Calibri" w:hAnsi="Calibri"/>
          <w:lang w:val="en-US"/>
        </w:rPr>
      </w:r>
    </w:p>
    <w:p>
      <w:pPr>
        <w:pStyle w:val="Normal"/>
        <w:spacing w:lineRule="atLeast" w:line="400" w:before="120" w:after="120"/>
        <w:jc w:val="both"/>
        <w:rPr>
          <w:rFonts w:eastAsia="MingLiU" w:cs="Arial" w:ascii="Calibri" w:hAnsi="Calibri"/>
          <w:lang w:val="en-US"/>
        </w:rPr>
      </w:pPr>
      <w:r>
        <w:rPr>
          <w:rFonts w:eastAsia="MingLiU" w:cs="Arial" w:ascii="Calibri" w:hAnsi="Calibri"/>
          <w:lang w:val="en-US"/>
        </w:rPr>
      </w:r>
    </w:p>
    <w:p>
      <w:pPr>
        <w:pStyle w:val="Normal"/>
        <w:spacing w:lineRule="atLeast" w:line="400" w:before="120" w:after="120"/>
        <w:jc w:val="both"/>
        <w:rPr>
          <w:rFonts w:eastAsia="MingLiU" w:cs="Arial" w:ascii="Calibri" w:hAnsi="Calibri"/>
          <w:lang w:val="en-US"/>
        </w:rPr>
      </w:pPr>
      <w:r>
        <w:rPr>
          <w:rFonts w:eastAsia="MingLiU" w:cs="Arial" w:ascii="Calibri" w:hAnsi="Calibri"/>
          <w:lang w:val="en-US"/>
        </w:rPr>
      </w:r>
    </w:p>
    <w:p>
      <w:pPr>
        <w:pStyle w:val="Normal"/>
        <w:spacing w:lineRule="atLeast" w:line="400" w:before="120" w:after="120"/>
        <w:jc w:val="both"/>
        <w:rPr>
          <w:rFonts w:eastAsia="MingLiU" w:cs="Arial" w:ascii="Calibri" w:hAnsi="Calibri"/>
          <w:lang w:val="en-US"/>
        </w:rPr>
      </w:pPr>
      <w:r>
        <w:rPr>
          <w:rFonts w:eastAsia="MingLiU" w:cs="Arial" w:ascii="Calibri" w:hAnsi="Calibri"/>
          <w:lang w:val="en-US"/>
        </w:rPr>
      </w:r>
    </w:p>
    <w:p>
      <w:pPr>
        <w:pStyle w:val="Normal"/>
        <w:spacing w:lineRule="atLeast" w:line="400" w:before="120" w:after="120"/>
        <w:jc w:val="both"/>
        <w:rPr>
          <w:rFonts w:eastAsia="MingLiU" w:cs="Arial" w:ascii="Calibri" w:hAnsi="Calibri"/>
          <w:lang w:val="en-US"/>
        </w:rPr>
      </w:pPr>
      <w:r>
        <w:rPr>
          <w:rFonts w:eastAsia="MingLiU" w:cs="Arial" w:ascii="Calibri" w:hAnsi="Calibri"/>
          <w:lang w:val="en-US"/>
        </w:rPr>
      </w:r>
    </w:p>
    <w:p>
      <w:pPr>
        <w:pStyle w:val="Normal"/>
        <w:spacing w:lineRule="atLeast" w:line="400" w:before="120" w:after="120"/>
        <w:jc w:val="both"/>
        <w:rPr>
          <w:rFonts w:eastAsia="MingLiU" w:cs="Arial" w:ascii="Calibri" w:hAnsi="Calibri"/>
          <w:lang w:val="en-US"/>
        </w:rPr>
      </w:pPr>
      <w:r>
        <w:rPr>
          <w:rFonts w:eastAsia="MingLiU" w:cs="Arial" w:ascii="Calibri" w:hAnsi="Calibri"/>
          <w:lang w:val="en-US"/>
        </w:rPr>
      </w:r>
    </w:p>
    <w:p>
      <w:pPr>
        <w:pStyle w:val="Normal"/>
        <w:spacing w:lineRule="atLeast" w:line="400" w:before="120" w:after="120"/>
        <w:jc w:val="both"/>
        <w:rPr>
          <w:rFonts w:eastAsia="MingLiU" w:cs="Arial" w:ascii="Calibri" w:hAnsi="Calibri"/>
          <w:lang w:val="en-US"/>
        </w:rPr>
      </w:pPr>
      <w:r>
        <w:rPr>
          <w:rFonts w:eastAsia="MingLiU" w:cs="Arial" w:ascii="Calibri" w:hAnsi="Calibri"/>
          <w:lang w:val="en-US"/>
        </w:rPr>
      </w:r>
    </w:p>
    <w:p>
      <w:pPr>
        <w:pStyle w:val="Normal"/>
        <w:spacing w:lineRule="atLeast" w:line="400" w:before="120" w:after="120"/>
        <w:jc w:val="both"/>
        <w:rPr>
          <w:rFonts w:eastAsia="MingLiU" w:cs="Arial" w:ascii="Calibri" w:hAnsi="Calibri"/>
          <w:b/>
          <w:lang w:val="en-US"/>
        </w:rPr>
      </w:pPr>
      <w:r>
        <w:rPr>
          <w:rFonts w:eastAsia="MingLiU" w:cs="Arial" w:ascii="Calibri" w:hAnsi="Calibri"/>
          <w:b/>
          <w:lang w:val="en-US"/>
        </w:rPr>
        <w:t xml:space="preserve">INTRODUCTION: </w:t>
      </w:r>
    </w:p>
    <w:p>
      <w:pPr>
        <w:pStyle w:val="Normal"/>
        <w:spacing w:lineRule="atLeast" w:line="400" w:before="120" w:after="120"/>
        <w:jc w:val="both"/>
        <w:rPr>
          <w:rFonts w:eastAsia="MingLiU" w:cs="Arial" w:ascii="Calibri" w:hAnsi="Calibri"/>
          <w:lang w:val="en-GB"/>
        </w:rPr>
      </w:pPr>
      <w:r>
        <w:rPr>
          <w:rFonts w:eastAsia="MingLiU" w:cs="Arial" w:ascii="Calibri" w:hAnsi="Calibri"/>
          <w:lang w:val="en-GB"/>
        </w:rPr>
        <w:t xml:space="preserve">Mozambique is one of the few high tuberculosis </w:t>
      </w:r>
      <w:commentRangeStart w:id="0"/>
      <w:r>
        <w:rPr>
          <w:rFonts w:eastAsia="MingLiU" w:cs="Arial" w:ascii="Calibri" w:hAnsi="Calibri"/>
          <w:lang w:val="en-GB"/>
        </w:rPr>
        <w:t xml:space="preserve">(TB) </w:t>
      </w:r>
      <w:commentRangeEnd w:id="0"/>
      <w:r>
        <w:rPr>
          <w:rFonts w:eastAsia="MingLiU" w:cs="Arial" w:ascii="Calibri" w:hAnsi="Calibri"/>
          <w:lang w:val="en-GB"/>
        </w:rPr>
      </w:r>
      <w:r>
        <w:rPr>
          <w:rFonts w:eastAsia="MingLiU" w:cs="Arial" w:ascii="Calibri" w:hAnsi="Calibri"/>
          <w:lang w:val="en-GB"/>
        </w:rPr>
        <w:commentReference w:id="0"/>
      </w:r>
      <w:r>
        <w:rPr>
          <w:rFonts w:eastAsia="MingLiU" w:cs="Arial" w:ascii="Calibri" w:hAnsi="Calibri"/>
          <w:lang w:val="en-GB"/>
        </w:rPr>
        <w:commentReference w:id="1"/>
      </w:r>
      <w:r>
        <w:rPr>
          <w:rFonts w:eastAsia="MingLiU" w:cs="Arial" w:ascii="Calibri" w:hAnsi="Calibri"/>
          <w:lang w:val="en-GB"/>
        </w:rPr>
        <w:t>burden countries where TB figures have not improved in recent years with TB/HIV co-infection rates of 58% of all notified TB cases. The estimated TB incidence in 2013 was 552 cases per 100.000 population and together with Afghanistan, Bangladesh, the Democratic Republic of the Congo, Nigeria and Zimbabwe it has the lowest case detection rates of the world, around 37% according to the World Health Organization (1).</w:t>
      </w:r>
    </w:p>
    <w:p>
      <w:pPr>
        <w:pStyle w:val="Normal"/>
        <w:spacing w:lineRule="atLeast" w:line="400" w:before="120" w:after="120"/>
        <w:jc w:val="both"/>
        <w:rPr>
          <w:rFonts w:eastAsia="MingLiU" w:cs="Arial" w:ascii="Calibri" w:hAnsi="Calibri"/>
          <w:lang w:val="en-GB"/>
        </w:rPr>
      </w:pPr>
      <w:r>
        <w:rPr>
          <w:rFonts w:eastAsia="MingLiU" w:cs="Arial" w:ascii="Calibri" w:hAnsi="Calibri"/>
          <w:lang w:val="en-GB"/>
        </w:rPr>
        <w:t xml:space="preserve">The National Tuberculosis Control Program (NTP) in Mozambique was launched in 1977, as part of the Mutual Assisted Programme of the International Union Against Tuberculosis and Lung disease (IUATLD) and started to be applied on nationwide basis in 1985 (2)(3). The TB patient registration system began in 1984 and short course therapy followed in the late 80´s (3)(4), even if the country was facing the adverse context of a civil war, with shortage of qualified medical staff, supplies and transports inside de country. With the emergence of the HIV also in 1980´s and its impact in industrialised countries, TB regained importance as a public health problem, and DOTS strategy (direct observed therapy, short-course therapy) was launched in the early 1990´s, developed and promoted by WHO as best practices for </w:t>
      </w:r>
      <w:commentRangeStart w:id="2"/>
      <w:r>
        <w:rPr>
          <w:rFonts w:eastAsia="MingLiU" w:cs="Arial" w:ascii="Calibri" w:hAnsi="Calibri"/>
          <w:lang w:val="en-GB"/>
        </w:rPr>
        <w:t>TB control (5).</w:t>
      </w:r>
      <w:commentRangeEnd w:id="2"/>
      <w:r>
        <w:rPr>
          <w:rFonts w:eastAsia="MingLiU" w:cs="Arial" w:ascii="Calibri" w:hAnsi="Calibri"/>
          <w:lang w:val="en-GB"/>
        </w:rPr>
      </w:r>
      <w:r>
        <w:rPr>
          <w:rFonts w:eastAsia="MingLiU" w:cs="Arial" w:ascii="Calibri" w:hAnsi="Calibri"/>
          <w:lang w:val="en-GB"/>
        </w:rPr>
        <w:commentReference w:id="2"/>
      </w:r>
      <w:r>
        <w:rPr>
          <w:rFonts w:eastAsia="MingLiU" w:cs="Arial" w:ascii="Calibri" w:hAnsi="Calibri"/>
          <w:lang w:val="en-GB"/>
        </w:rPr>
        <w:t xml:space="preserve"> In 1996, almost all districts of Mozambique </w:t>
      </w:r>
      <w:commentRangeStart w:id="3"/>
      <w:r>
        <w:rPr>
          <w:rFonts w:eastAsia="MingLiU" w:cs="Arial" w:ascii="Calibri" w:hAnsi="Calibri"/>
          <w:lang w:val="en-GB"/>
        </w:rPr>
        <w:t>were covered by the national guidelines</w:t>
      </w:r>
      <w:commentRangeEnd w:id="3"/>
      <w:r>
        <w:rPr>
          <w:rFonts w:eastAsia="MingLiU" w:cs="Arial" w:ascii="Calibri" w:hAnsi="Calibri"/>
          <w:lang w:val="en-GB"/>
        </w:rPr>
      </w:r>
      <w:r>
        <w:rPr>
          <w:rFonts w:eastAsia="MingLiU" w:cs="Arial" w:ascii="Calibri" w:hAnsi="Calibri"/>
          <w:lang w:val="en-GB"/>
        </w:rPr>
        <w:commentReference w:id="3"/>
      </w:r>
      <w:r>
        <w:rPr>
          <w:rFonts w:eastAsia="MingLiU" w:cs="Arial" w:ascii="Calibri" w:hAnsi="Calibri"/>
          <w:lang w:val="en-GB"/>
        </w:rPr>
        <w:t xml:space="preserve">, with complete coverage in 2000(4). </w:t>
      </w:r>
    </w:p>
    <w:p>
      <w:pPr>
        <w:pStyle w:val="Normal"/>
        <w:spacing w:lineRule="atLeast" w:line="400" w:before="120" w:after="120"/>
        <w:jc w:val="both"/>
        <w:rPr>
          <w:rFonts w:eastAsia="MingLiU" w:cs="Arial" w:ascii="Calibri" w:hAnsi="Calibri"/>
          <w:lang w:val="en-GB"/>
        </w:rPr>
      </w:pPr>
      <w:r>
        <w:rPr>
          <w:rFonts w:eastAsia="MingLiU" w:cs="Arial" w:ascii="Calibri" w:hAnsi="Calibri"/>
          <w:lang w:val="en-GB"/>
        </w:rPr>
        <w:t>The aim of this study is to evaluate how the TB incidence rate and other key indicators for TB control evolved from 1997 to 2012 in a rural district of Southern Mozambique, which has recently reported very  high rates of TB and H</w:t>
      </w:r>
      <w:commentRangeStart w:id="4"/>
      <w:r>
        <w:rPr>
          <w:rFonts w:eastAsia="MingLiU" w:cs="Arial" w:ascii="Calibri" w:hAnsi="Calibri"/>
          <w:lang w:val="en-GB"/>
        </w:rPr>
        <w:t xml:space="preserve">IV (6)(7). </w:t>
      </w:r>
      <w:commentRangeEnd w:id="4"/>
      <w:r>
        <w:rPr>
          <w:rFonts w:eastAsia="MingLiU" w:cs="Arial" w:ascii="Calibri" w:hAnsi="Calibri"/>
          <w:lang w:val="en-GB"/>
        </w:rPr>
      </w:r>
      <w:r>
        <w:rPr>
          <w:rFonts w:eastAsia="MingLiU" w:cs="Arial" w:ascii="Calibri" w:hAnsi="Calibri"/>
          <w:lang w:val="en-GB"/>
        </w:rPr>
        <w:commentReference w:id="4"/>
      </w:r>
      <w:r>
        <w:rPr>
          <w:rFonts w:eastAsia="MingLiU" w:cs="Arial" w:ascii="Calibri" w:hAnsi="Calibri"/>
          <w:lang w:val="en-GB"/>
        </w:rPr>
        <w:t xml:space="preserve">Analysing the trends of tuberculosis in Manhiça as well as its characterization over time will contribute to better understand the current TB epidemic in Southern Mozambique and thus might shed some light on potential key areas for public health action.  </w:t>
      </w:r>
    </w:p>
    <w:p>
      <w:pPr>
        <w:pStyle w:val="NormalWeb"/>
        <w:jc w:val="both"/>
        <w:rPr>
          <w:rFonts w:ascii="Calibri" w:hAnsi="Calibri"/>
          <w:lang w:val="en-GB"/>
        </w:rPr>
      </w:pPr>
      <w:r>
        <w:rPr>
          <w:rFonts w:ascii="Calibri" w:hAnsi="Calibri"/>
          <w:lang w:val="en-GB"/>
        </w:rPr>
      </w:r>
    </w:p>
    <w:p>
      <w:pPr>
        <w:pStyle w:val="NormalWeb"/>
        <w:jc w:val="both"/>
        <w:rPr>
          <w:rFonts w:ascii="Calibri" w:hAnsi="Calibri"/>
          <w:lang w:val="en-GB"/>
        </w:rPr>
      </w:pPr>
      <w:r>
        <w:rPr>
          <w:rFonts w:ascii="Calibri" w:hAnsi="Calibri"/>
          <w:lang w:val="en-GB"/>
        </w:rPr>
      </w:r>
    </w:p>
    <w:p>
      <w:pPr>
        <w:pStyle w:val="NormalWeb"/>
        <w:jc w:val="both"/>
        <w:rPr>
          <w:rFonts w:ascii="Calibri" w:hAnsi="Calibri"/>
          <w:b/>
          <w:lang w:val="en-GB"/>
        </w:rPr>
      </w:pPr>
      <w:r>
        <w:rPr>
          <w:rFonts w:ascii="Calibri" w:hAnsi="Calibri"/>
          <w:b/>
          <w:lang w:val="en-GB"/>
        </w:rPr>
        <w:t>METHODS:</w:t>
      </w:r>
    </w:p>
    <w:p>
      <w:pPr>
        <w:pStyle w:val="NormalWeb"/>
        <w:jc w:val="both"/>
        <w:rPr>
          <w:rFonts w:ascii="Calibri" w:hAnsi="Calibri"/>
          <w:u w:val="single"/>
          <w:lang w:val="en-GB"/>
        </w:rPr>
      </w:pPr>
      <w:r>
        <w:rPr>
          <w:rFonts w:ascii="Calibri" w:hAnsi="Calibri"/>
          <w:u w:val="single"/>
          <w:lang w:val="en-GB"/>
        </w:rPr>
        <w:t>Study design and data collection</w:t>
      </w:r>
    </w:p>
    <w:p>
      <w:pPr>
        <w:pStyle w:val="NormalWeb"/>
        <w:jc w:val="both"/>
        <w:rPr>
          <w:rFonts w:ascii="Calibri" w:hAnsi="Calibri"/>
          <w:lang w:val="en-GB"/>
        </w:rPr>
      </w:pPr>
      <w:r>
        <w:rPr>
          <w:rFonts w:ascii="Calibri" w:hAnsi="Calibri"/>
          <w:lang w:val="en-GB"/>
        </w:rPr>
        <w:t xml:space="preserve">This is a longitudinal retrospective descriptive study using tuberculosis patients’ data from the registry books of the National Tuberculosis Control Program (NTP) for the district of Manhiça in the period of 1997 to 2012. All patients starting TB treatment were registered in these registry books. </w:t>
      </w:r>
    </w:p>
    <w:p>
      <w:pPr>
        <w:pStyle w:val="Normal"/>
        <w:spacing w:lineRule="atLeast" w:line="400" w:before="120" w:after="120"/>
        <w:jc w:val="both"/>
        <w:rPr>
          <w:rFonts w:eastAsia="MingLiU" w:cs="Arial" w:ascii="Calibri" w:hAnsi="Calibri"/>
          <w:lang w:val="en-GB"/>
        </w:rPr>
      </w:pPr>
      <w:r>
        <w:rPr>
          <w:rFonts w:eastAsia="MingLiU" w:cs="Arial" w:ascii="Calibri" w:hAnsi="Calibri"/>
          <w:lang w:val="en-GB"/>
        </w:rPr>
        <w:t xml:space="preserve">Throughout the years some variables included in the books changed: in 2006 HIV status began to be registered in the tuberculosis registry books; TB case definitions changed, and multi drug resistant tuberculosis (MDR-TB) began to be registered in 2011. </w:t>
      </w:r>
    </w:p>
    <w:p>
      <w:pPr>
        <w:pStyle w:val="NormalWeb"/>
        <w:rPr>
          <w:rFonts w:ascii="Calibri" w:hAnsi="Calibri"/>
          <w:u w:val="single"/>
          <w:lang w:val="en-GB"/>
        </w:rPr>
      </w:pPr>
      <w:r>
        <w:rPr>
          <w:rFonts w:ascii="Calibri" w:hAnsi="Calibri"/>
          <w:u w:val="single"/>
          <w:lang w:val="en-GB"/>
        </w:rPr>
      </w:r>
    </w:p>
    <w:p>
      <w:pPr>
        <w:pStyle w:val="NormalWeb"/>
        <w:rPr>
          <w:rFonts w:ascii="Calibri" w:hAnsi="Calibri"/>
          <w:u w:val="single"/>
          <w:lang w:val="en-GB"/>
        </w:rPr>
      </w:pPr>
      <w:r>
        <w:rPr>
          <w:rFonts w:ascii="Calibri" w:hAnsi="Calibri"/>
          <w:u w:val="single"/>
          <w:lang w:val="en-GB"/>
        </w:rPr>
        <w:t>Tuberculosis control program in the District of Manhiça</w:t>
      </w:r>
    </w:p>
    <w:p>
      <w:pPr>
        <w:pStyle w:val="Normal"/>
        <w:spacing w:lineRule="atLeast" w:line="400" w:before="120" w:after="120"/>
        <w:jc w:val="both"/>
        <w:rPr>
          <w:rFonts w:eastAsia="MingLiU" w:cs="Arial" w:ascii="Calibri" w:hAnsi="Calibri"/>
          <w:lang w:val="en-GB"/>
        </w:rPr>
      </w:pPr>
      <w:r>
        <w:rPr>
          <w:rFonts w:ascii="Calibri" w:hAnsi="Calibri"/>
          <w:lang w:val="en-GB"/>
        </w:rPr>
        <w:t xml:space="preserve">In Manhiça district, registry books of the National Tuberculosis Program exist since 1986 and patients were registered in the two main health centres: Manhiça´s District Hospital and Xinavane Rural Hospital, separated 52 kilometres away. Nowadays, there are also 14 peripheric health care centres, which refer samples and patients to these two hospitals. </w:t>
      </w:r>
      <w:r>
        <w:rPr>
          <w:rFonts w:eastAsia="MingLiU" w:cs="Arial" w:ascii="Calibri" w:hAnsi="Calibri"/>
          <w:lang w:val="en-GB"/>
        </w:rPr>
        <w:t xml:space="preserve">After diagnosis, patients were registered in the main centres and after the first intake of medication, they were referred to their closest peripheral health centre where treatment is supervised under a modified DOT (once weekly). In the district of Manhiça, due to the geographical dispersion of the population, TB patients can be assigned a “godfather” (normally a relative) who will be accountable for the intake of the patients´ medication, which is given on a weekly basis during both the initiation or continuation phase. The smear controls were done in the two main hospitals. </w:t>
      </w:r>
    </w:p>
    <w:p>
      <w:pPr>
        <w:pStyle w:val="Normal"/>
        <w:spacing w:lineRule="atLeast" w:line="400" w:before="120" w:after="120"/>
        <w:jc w:val="both"/>
        <w:rPr>
          <w:rFonts w:eastAsia="MingLiU" w:cs="Arial" w:ascii="Calibri" w:hAnsi="Calibri"/>
          <w:u w:val="single"/>
          <w:lang w:val="en-GB"/>
        </w:rPr>
      </w:pPr>
      <w:r>
        <w:rPr>
          <w:rFonts w:eastAsia="MingLiU" w:cs="Arial" w:ascii="Calibri" w:hAnsi="Calibri"/>
          <w:u w:val="single"/>
          <w:lang w:val="en-GB"/>
        </w:rPr>
      </w:r>
    </w:p>
    <w:p>
      <w:pPr>
        <w:pStyle w:val="Normal"/>
        <w:spacing w:lineRule="atLeast" w:line="400" w:before="120" w:after="120"/>
        <w:jc w:val="both"/>
        <w:rPr>
          <w:rFonts w:eastAsia="MingLiU" w:cs="Arial" w:ascii="Calibri" w:hAnsi="Calibri"/>
          <w:u w:val="single"/>
          <w:lang w:val="en-GB"/>
        </w:rPr>
      </w:pPr>
      <w:r>
        <w:rPr>
          <w:rFonts w:eastAsia="MingLiU" w:cs="Arial" w:ascii="Calibri" w:hAnsi="Calibri"/>
          <w:u w:val="single"/>
          <w:lang w:val="en-GB"/>
        </w:rPr>
        <w:t>Case definitions</w:t>
      </w:r>
    </w:p>
    <w:p>
      <w:pPr>
        <w:pStyle w:val="Normal"/>
        <w:spacing w:lineRule="atLeast" w:line="400" w:before="120" w:after="120"/>
        <w:jc w:val="both"/>
        <w:rPr>
          <w:rFonts w:eastAsia="MingLiU" w:cs="Arial" w:ascii="Calibri" w:hAnsi="Calibri"/>
          <w:lang w:val="en-GB"/>
        </w:rPr>
      </w:pPr>
      <w:r>
        <w:rPr>
          <w:rFonts w:eastAsia="MingLiU" w:cs="Arial" w:ascii="Calibri" w:hAnsi="Calibri"/>
          <w:lang w:val="en-GB"/>
        </w:rPr>
        <w:t xml:space="preserve">TB case definitions have changed during the study period. In this analysis we used the WHO definitions, revised in 2013 and updated in 2014 (8). TB cases were classified as new, previously treated or unknown TB treatment history. Previously treated patient category includes: relapse (true relapse or reinfection), treatment after failure, treatment after lost to follow up and other previously treated patients. During the study period, the registry books of NTP program in Mozambique also used other terms: “recurrent TB”, “chronic TB”, which were recoded as “previously treated TB patients”, as well as for “MDR-TB” patients.   </w:t>
      </w:r>
    </w:p>
    <w:p>
      <w:pPr>
        <w:pStyle w:val="Normal"/>
        <w:spacing w:lineRule="atLeast" w:line="400" w:before="120" w:after="120"/>
        <w:jc w:val="both"/>
        <w:rPr>
          <w:rFonts w:eastAsia="MingLiU" w:cs="Arial" w:ascii="Calibri" w:hAnsi="Calibri"/>
          <w:lang w:val="en-GB"/>
        </w:rPr>
      </w:pPr>
      <w:r>
        <w:rPr>
          <w:rFonts w:eastAsia="MingLiU" w:cs="Arial" w:ascii="Calibri" w:hAnsi="Calibri"/>
          <w:lang w:val="en-GB"/>
        </w:rPr>
        <w:t>Following WHO definitions for incident cases we considered all new cases and relapse cases as incident cases. For the purpose of this study we also considered the former classification of “recurrent case” as an incident case (9).</w:t>
      </w:r>
    </w:p>
    <w:p>
      <w:pPr>
        <w:pStyle w:val="Normal"/>
        <w:spacing w:lineRule="atLeast" w:line="400" w:before="120" w:after="120"/>
        <w:jc w:val="both"/>
        <w:rPr>
          <w:rFonts w:eastAsia="MingLiU" w:cs="Arial" w:ascii="Calibri" w:hAnsi="Calibri"/>
          <w:lang w:val="en-GB"/>
        </w:rPr>
      </w:pPr>
      <w:r>
        <w:rPr>
          <w:rFonts w:eastAsia="MingLiU" w:cs="Arial" w:ascii="Calibri" w:hAnsi="Calibri"/>
          <w:lang w:val="en-GB"/>
        </w:rPr>
        <w:t xml:space="preserve">Smear positivity was defined according to the IUTLD smear grading scheme, considering scanty in at least one slide as a positive result, and smear negative patient as patients having two sputum smear negative in two different occasions according to the local guidelines since 2004 (10). </w:t>
      </w:r>
    </w:p>
    <w:p>
      <w:pPr>
        <w:pStyle w:val="Normal"/>
        <w:spacing w:lineRule="atLeast" w:line="400" w:before="120" w:after="120"/>
        <w:jc w:val="both"/>
        <w:rPr>
          <w:rFonts w:eastAsia="MingLiU" w:cs="Arial" w:ascii="Calibri" w:hAnsi="Calibri"/>
          <w:lang w:val="en-GB"/>
        </w:rPr>
      </w:pPr>
      <w:r>
        <w:rPr>
          <w:rFonts w:eastAsia="MingLiU" w:cs="Arial" w:ascii="Calibri" w:hAnsi="Calibri"/>
          <w:lang w:val="en-GB"/>
        </w:rPr>
        <w:t xml:space="preserve">Regarding treatment outcomes patients were classified as cured, treatment completed, treatment failed, died, lost to follow up and not evaluated; treatment success was defined as the sum of “cured” and “treatment completed”. </w:t>
      </w:r>
    </w:p>
    <w:p>
      <w:pPr>
        <w:pStyle w:val="NormalWeb"/>
        <w:rPr>
          <w:rFonts w:ascii="Calibri" w:hAnsi="Calibri"/>
          <w:u w:val="single"/>
          <w:lang w:val="en-GB"/>
        </w:rPr>
      </w:pPr>
      <w:r>
        <w:rPr>
          <w:rFonts w:ascii="Calibri" w:hAnsi="Calibri"/>
          <w:u w:val="single"/>
          <w:lang w:val="en-GB"/>
        </w:rPr>
      </w:r>
    </w:p>
    <w:p>
      <w:pPr>
        <w:pStyle w:val="NormalWeb"/>
        <w:rPr>
          <w:rFonts w:ascii="Calibri" w:hAnsi="Calibri"/>
          <w:u w:val="single"/>
          <w:lang w:val="en-GB"/>
        </w:rPr>
      </w:pPr>
      <w:r>
        <w:rPr>
          <w:rFonts w:ascii="Calibri" w:hAnsi="Calibri"/>
          <w:u w:val="single"/>
          <w:lang w:val="en-GB"/>
        </w:rPr>
        <w:t>Data analysis</w:t>
      </w:r>
    </w:p>
    <w:p>
      <w:pPr>
        <w:pStyle w:val="NormalWeb"/>
        <w:spacing w:lineRule="atLeast" w:line="400" w:before="280" w:after="280"/>
        <w:jc w:val="both"/>
        <w:rPr>
          <w:rFonts w:ascii="Calibri" w:hAnsi="Calibri"/>
          <w:lang w:val="en-GB"/>
        </w:rPr>
      </w:pPr>
      <w:r>
        <w:rPr>
          <w:rFonts w:ascii="Calibri" w:hAnsi="Calibri"/>
          <w:lang w:val="en-GB"/>
        </w:rPr>
        <w:t xml:space="preserve">Data from registry books were double entered using electronic software (Openclinica. </w:t>
      </w:r>
      <w:hyperlink r:id="rId2">
        <w:r>
          <w:rPr>
            <w:rStyle w:val="InternetLink"/>
            <w:rFonts w:cs="DejaVu Sans" w:ascii="Calibri" w:hAnsi="Calibri"/>
            <w:lang w:val="en-GB"/>
          </w:rPr>
          <w:t>www.openclinica.org</w:t>
        </w:r>
      </w:hyperlink>
      <w:r>
        <w:rPr>
          <w:rFonts w:ascii="Calibri" w:hAnsi="Calibri"/>
          <w:lang w:val="en-GB"/>
        </w:rPr>
        <w:t>) and information was checked, cleaned and analysed using SPSSv20. Descriptive statistics were used to describe TB profile in the district during the study period.</w:t>
      </w:r>
    </w:p>
    <w:p>
      <w:pPr>
        <w:pStyle w:val="NormalWeb"/>
        <w:spacing w:lineRule="atLeast" w:line="400" w:before="280" w:after="280"/>
        <w:jc w:val="both"/>
        <w:rPr>
          <w:rFonts w:ascii="Calibri" w:hAnsi="Calibri"/>
          <w:lang w:val="en-GB"/>
        </w:rPr>
      </w:pPr>
      <w:r>
        <w:rPr>
          <w:rFonts w:ascii="Calibri" w:hAnsi="Calibri"/>
          <w:lang w:val="en-GB"/>
        </w:rPr>
        <w:t xml:space="preserve">Population at risk for each year of our study period was based on annual demographic estimates of the National Institute of Statistics from Mozambique. Population projections were based on the two last national census, which took place in 1997 and 2007 and were available by age group and gender. </w:t>
      </w:r>
    </w:p>
    <w:p>
      <w:pPr>
        <w:pStyle w:val="NormalWeb"/>
        <w:spacing w:lineRule="atLeast" w:line="400" w:before="280" w:after="280"/>
        <w:jc w:val="both"/>
        <w:rPr>
          <w:rFonts w:ascii="Calibri" w:hAnsi="Calibri"/>
          <w:lang w:val="en-GB"/>
        </w:rPr>
      </w:pPr>
      <w:r>
        <w:rPr>
          <w:rFonts w:ascii="Calibri" w:hAnsi="Calibri"/>
          <w:lang w:val="en-GB"/>
        </w:rPr>
        <w:t xml:space="preserve">We grouped all the study period in a 4 year time bands, in order to minimize the effect of circumstantial situations (low human resources, heavy rains…) which could affect some of the TB indicators. We have also stratified the population by age groups, according to the WHO classification and the data we had from the census. TB-HIV analysis was only possible since 2007 onwards, when HIV testing was fully implemented at the NTP offices. </w:t>
      </w:r>
    </w:p>
    <w:p>
      <w:pPr>
        <w:pStyle w:val="NormalWeb"/>
        <w:spacing w:lineRule="atLeast" w:line="400" w:before="280" w:after="280"/>
        <w:rPr>
          <w:rFonts w:ascii="Calibri" w:hAnsi="Calibri"/>
          <w:u w:val="single"/>
          <w:lang w:val="en-GB"/>
        </w:rPr>
      </w:pPr>
      <w:r>
        <w:rPr>
          <w:rFonts w:ascii="Calibri" w:hAnsi="Calibri"/>
          <w:u w:val="single"/>
          <w:lang w:val="en-GB"/>
        </w:rPr>
      </w:r>
    </w:p>
    <w:p>
      <w:pPr>
        <w:pStyle w:val="NormalWeb"/>
        <w:spacing w:lineRule="atLeast" w:line="400" w:before="280" w:after="280"/>
        <w:rPr>
          <w:rFonts w:ascii="Calibri" w:hAnsi="Calibri"/>
          <w:u w:val="single"/>
          <w:lang w:val="en-GB"/>
        </w:rPr>
      </w:pPr>
      <w:r>
        <w:rPr>
          <w:rFonts w:ascii="Calibri" w:hAnsi="Calibri"/>
          <w:u w:val="single"/>
          <w:lang w:val="en-GB"/>
        </w:rPr>
        <w:t>Ethics considerations</w:t>
      </w:r>
    </w:p>
    <w:p>
      <w:pPr>
        <w:pStyle w:val="NormalWeb"/>
        <w:spacing w:lineRule="atLeast" w:line="400" w:before="280" w:after="280"/>
        <w:rPr>
          <w:rFonts w:ascii="Calibri" w:hAnsi="Calibri"/>
          <w:lang w:val="en-GB"/>
        </w:rPr>
      </w:pPr>
      <w:r>
        <w:rPr>
          <w:rFonts w:ascii="Calibri" w:hAnsi="Calibri"/>
          <w:lang w:val="en-GB"/>
        </w:rPr>
        <w:t xml:space="preserve">The Manhiça Health Research Centre approved this research proposal for ethic and scientific integrity. Formal permission to use official information contained in the books was granted by the Manhiça District Health Officer. </w:t>
      </w:r>
    </w:p>
    <w:p>
      <w:pPr>
        <w:pStyle w:val="NormalWeb"/>
        <w:spacing w:lineRule="atLeast" w:line="400" w:before="280" w:after="280"/>
        <w:rPr>
          <w:rFonts w:ascii="Calibri" w:hAnsi="Calibri"/>
          <w:lang w:val="en-GB"/>
        </w:rPr>
      </w:pPr>
      <w:r>
        <w:rPr>
          <w:rFonts w:ascii="Calibri" w:hAnsi="Calibri"/>
          <w:lang w:val="en-GB"/>
        </w:rPr>
      </w:r>
    </w:p>
    <w:p>
      <w:pPr>
        <w:pStyle w:val="NormalWeb"/>
        <w:spacing w:lineRule="atLeast" w:line="400" w:before="280" w:after="280"/>
        <w:rPr>
          <w:rFonts w:eastAsia="MingLiU" w:cs="Arial" w:ascii="Calibri" w:hAnsi="Calibri"/>
          <w:b/>
          <w:lang w:val="en-GB"/>
        </w:rPr>
      </w:pPr>
      <w:r>
        <w:rPr>
          <w:rFonts w:eastAsia="MingLiU" w:cs="Arial" w:ascii="Calibri" w:hAnsi="Calibri"/>
          <w:b/>
          <w:lang w:val="en-GB"/>
        </w:rPr>
        <w:t>RESULTS:</w:t>
      </w:r>
    </w:p>
    <w:p>
      <w:pPr>
        <w:pStyle w:val="Normal"/>
        <w:spacing w:lineRule="atLeast" w:line="400" w:before="120" w:after="120"/>
        <w:jc w:val="both"/>
        <w:rPr>
          <w:rFonts w:ascii="Calibri" w:hAnsi="Calibri"/>
          <w:u w:val="single"/>
          <w:lang w:val="en-GB"/>
        </w:rPr>
      </w:pPr>
      <w:r>
        <w:rPr>
          <w:rFonts w:ascii="Calibri" w:hAnsi="Calibri"/>
          <w:u w:val="single"/>
          <w:lang w:val="en-GB"/>
        </w:rPr>
        <w:t xml:space="preserve">Overall and demographic characteristics: </w:t>
      </w:r>
    </w:p>
    <w:p>
      <w:pPr>
        <w:pStyle w:val="Normal"/>
        <w:spacing w:lineRule="atLeast" w:line="400" w:before="120" w:after="120"/>
        <w:jc w:val="both"/>
        <w:rPr>
          <w:rFonts w:ascii="Calibri" w:hAnsi="Calibri"/>
          <w:lang w:val="en-GB"/>
        </w:rPr>
      </w:pPr>
      <w:r>
        <w:rPr>
          <w:rFonts w:ascii="Calibri" w:hAnsi="Calibri"/>
          <w:lang w:val="en-GB"/>
        </w:rPr>
        <w:t xml:space="preserve">Over the 16 year period of the study, 9576 cases of tuberculosis were registered by the National Program of Tuberculosis Control in the district of Manhiça, 70,4% (6739 cases)  of them in Manhiça District Hospital and 29,6% (2834 cases) in Rural Hospital of Xinavane. The mean age of registered TB patients was 34,1 years old (standard deviation of 17,3), the median was 33,0 (interquartile range: 24,0- 45,0) and the mode was 30,0 years old. Absolute number of cases was higher in men along all the study period. Children from 5-14 years old have the lowest proportion of cases (table 1). </w:t>
      </w:r>
    </w:p>
    <w:p>
      <w:pPr>
        <w:pStyle w:val="Normal"/>
        <w:spacing w:lineRule="atLeast" w:line="400" w:before="120" w:after="120"/>
        <w:jc w:val="both"/>
        <w:rPr>
          <w:rFonts w:ascii="Calibri" w:hAnsi="Calibri"/>
          <w:lang w:val="en-GB"/>
        </w:rPr>
      </w:pPr>
      <w:r>
        <w:rPr>
          <w:rFonts w:ascii="Calibri" w:hAnsi="Calibri"/>
          <w:lang w:val="en-GB"/>
        </w:rPr>
        <w:t>During the study period, the population of the district increased from 134,587 in 1997 to 141,167 inhabitants in 2012 (5% increase), while the absolute number of tuberculosis cases registered in 2008-2012 was approximately 3 times higher compared to 1997-2000 (3774 and 1247 cases respectively).</w:t>
      </w:r>
    </w:p>
    <w:p>
      <w:pPr>
        <w:pStyle w:val="Normal"/>
        <w:spacing w:lineRule="atLeast" w:line="400" w:before="120" w:after="120"/>
        <w:jc w:val="both"/>
        <w:rPr>
          <w:rFonts w:ascii="Calibri" w:hAnsi="Calibri"/>
          <w:u w:val="single"/>
          <w:lang w:val="en-GB"/>
        </w:rPr>
      </w:pPr>
      <w:r>
        <w:rPr>
          <w:rFonts w:ascii="Calibri" w:hAnsi="Calibri"/>
          <w:u w:val="single"/>
          <w:lang w:val="en-GB"/>
        </w:rPr>
      </w:r>
    </w:p>
    <w:p>
      <w:pPr>
        <w:pStyle w:val="Normal"/>
        <w:spacing w:lineRule="atLeast" w:line="400" w:before="120" w:after="120"/>
        <w:jc w:val="both"/>
        <w:rPr>
          <w:rFonts w:ascii="Calibri" w:hAnsi="Calibri"/>
          <w:u w:val="single"/>
          <w:lang w:val="en-GB"/>
        </w:rPr>
      </w:pPr>
      <w:commentRangeStart w:id="5"/>
      <w:r>
        <w:rPr>
          <w:rFonts w:ascii="Calibri" w:hAnsi="Calibri"/>
          <w:u w:val="single"/>
          <w:lang w:val="en-GB"/>
        </w:rPr>
        <w:t xml:space="preserve">Incidence risk </w:t>
      </w:r>
      <w:commentRangeEnd w:id="5"/>
      <w:r>
        <w:rPr>
          <w:rFonts w:ascii="Calibri" w:hAnsi="Calibri"/>
          <w:u w:val="single"/>
          <w:lang w:val="en-GB"/>
        </w:rPr>
      </w:r>
      <w:r>
        <w:rPr>
          <w:rFonts w:ascii="Calibri" w:hAnsi="Calibri"/>
          <w:u w:val="single"/>
          <w:lang w:val="en-GB"/>
        </w:rPr>
        <w:commentReference w:id="5"/>
      </w:r>
    </w:p>
    <w:p>
      <w:pPr>
        <w:pStyle w:val="Normal"/>
        <w:spacing w:lineRule="atLeast" w:line="400" w:before="120" w:after="120"/>
        <w:jc w:val="both"/>
        <w:rPr>
          <w:rFonts w:ascii="Calibri" w:hAnsi="Calibri"/>
          <w:lang w:val="en-GB"/>
        </w:rPr>
      </w:pPr>
      <w:r>
        <w:rPr>
          <w:rFonts w:ascii="Calibri" w:hAnsi="Calibri"/>
          <w:lang w:val="en-GB"/>
        </w:rPr>
        <w:t xml:space="preserve">During our study period there were 8986 incident cases (94,1%). The tuberculosis incidence risk has been increasing over the years of the study, for all age groups, from a total of 155 cases per 100.000 habitants in 1997 to 700 incident cases per 100.000 population at risk in 2012. Incidence was highest for men aged from 30 to 49 years old being this information consistent along all the study period; from 2002 to 2012, approximately each one out of fifty men had tuberculosis. The incidence in men almost doubles the incidence in women for the same age range. In table 2 we detail the incidence risks stratified by years, gender and age group.  </w:t>
      </w:r>
    </w:p>
    <w:p>
      <w:pPr>
        <w:pStyle w:val="Normal"/>
        <w:spacing w:lineRule="atLeast" w:line="400" w:before="120" w:after="120"/>
        <w:jc w:val="both"/>
        <w:rPr>
          <w:rFonts w:ascii="Calibri" w:hAnsi="Calibri"/>
          <w:lang w:val="en-GB"/>
        </w:rPr>
      </w:pPr>
      <w:r>
        <w:rPr>
          <w:rFonts w:ascii="Calibri" w:hAnsi="Calibri"/>
          <w:lang w:val="en-GB"/>
        </w:rPr>
      </w:r>
    </w:p>
    <w:p>
      <w:pPr>
        <w:pStyle w:val="Normal"/>
        <w:spacing w:lineRule="atLeast" w:line="400" w:before="120" w:after="120"/>
        <w:jc w:val="both"/>
        <w:rPr>
          <w:rFonts w:ascii="Calibri" w:hAnsi="Calibri"/>
          <w:lang w:val="en-GB"/>
        </w:rPr>
      </w:pPr>
      <w:r>
        <w:rPr>
          <w:rFonts w:ascii="Calibri" w:hAnsi="Calibri"/>
          <w:lang w:val="en-GB"/>
        </w:rPr>
        <w:t xml:space="preserve">In figure 1, we can observe that after a slow increase from 2003 to 2008, incidence risk has a rapid rise especially for men from 2008 to 2012, passing from 558 cases to 917 cases of tuberculosis per a 100.000 population. </w:t>
      </w:r>
    </w:p>
    <w:p>
      <w:pPr>
        <w:pStyle w:val="Normal"/>
        <w:spacing w:lineRule="atLeast" w:line="400" w:before="120" w:after="120"/>
        <w:jc w:val="both"/>
        <w:rPr>
          <w:rFonts w:ascii="Calibri" w:hAnsi="Calibri"/>
          <w:lang w:val="en-GB"/>
        </w:rPr>
      </w:pPr>
      <w:r>
        <w:rPr>
          <w:rFonts w:ascii="Calibri" w:hAnsi="Calibri"/>
          <w:lang w:val="en-GB"/>
        </w:rPr>
        <w:t xml:space="preserve">Children from 5-14 years old have the lowest incidence risk for both males and females. </w:t>
      </w:r>
    </w:p>
    <w:p>
      <w:pPr>
        <w:pStyle w:val="Normal"/>
        <w:spacing w:lineRule="atLeast" w:line="400" w:before="120" w:after="120"/>
        <w:jc w:val="both"/>
        <w:rPr>
          <w:rFonts w:eastAsia="MingLiU" w:cs="Arial" w:ascii="Calibri" w:hAnsi="Calibri"/>
          <w:lang w:val="en-GB"/>
        </w:rPr>
      </w:pPr>
      <w:r>
        <w:rPr>
          <w:rFonts w:eastAsia="MingLiU" w:cs="Arial" w:ascii="Calibri" w:hAnsi="Calibri"/>
          <w:lang w:val="en-GB"/>
        </w:rPr>
      </w:r>
    </w:p>
    <w:p>
      <w:pPr>
        <w:pStyle w:val="Normal"/>
        <w:spacing w:lineRule="atLeast" w:line="400" w:before="120" w:after="120"/>
        <w:jc w:val="both"/>
        <w:rPr>
          <w:rFonts w:ascii="Calibri" w:hAnsi="Calibri"/>
          <w:u w:val="single"/>
          <w:lang w:val="en-GB" w:bidi="th-TH"/>
        </w:rPr>
      </w:pPr>
      <w:r>
        <w:rPr>
          <w:rFonts w:ascii="Calibri" w:hAnsi="Calibri"/>
          <w:u w:val="single"/>
          <w:lang w:val="en-GB" w:bidi="th-TH"/>
        </w:rPr>
        <w:t>HIV status and TB</w:t>
      </w:r>
    </w:p>
    <w:p>
      <w:pPr>
        <w:pStyle w:val="Normal"/>
        <w:spacing w:lineRule="atLeast" w:line="400" w:before="120" w:after="120"/>
        <w:jc w:val="both"/>
        <w:rPr>
          <w:rFonts w:ascii="Calibri" w:hAnsi="Calibri"/>
          <w:lang w:val="en-GB" w:bidi="th-TH"/>
        </w:rPr>
      </w:pPr>
      <w:r>
        <w:rPr>
          <w:rFonts w:ascii="Calibri" w:hAnsi="Calibri"/>
          <w:lang w:val="en-GB" w:bidi="th-TH"/>
        </w:rPr>
        <w:t xml:space="preserve">Until 2006 only 5 patients had their HIV status recorded in the registry books from the NTP, however from 2008 onwards the HIV status was recorded in more than </w:t>
      </w:r>
      <w:commentRangeStart w:id="6"/>
      <w:r>
        <w:rPr>
          <w:rFonts w:ascii="Calibri" w:hAnsi="Calibri"/>
          <w:lang w:val="en-GB" w:bidi="th-TH"/>
        </w:rPr>
        <w:t xml:space="preserve">95% of the patients (in 2006 and 2007, 11% and 91%, respectively). </w:t>
      </w:r>
      <w:commentRangeEnd w:id="6"/>
      <w:r>
        <w:rPr>
          <w:rFonts w:ascii="Calibri" w:hAnsi="Calibri"/>
          <w:lang w:val="en-GB" w:bidi="th-TH"/>
        </w:rPr>
      </w:r>
      <w:r>
        <w:rPr>
          <w:rFonts w:ascii="Calibri" w:hAnsi="Calibri"/>
          <w:lang w:val="en-GB" w:bidi="th-TH"/>
        </w:rPr>
        <w:commentReference w:id="6"/>
      </w:r>
      <w:r>
        <w:rPr>
          <w:rFonts w:ascii="Calibri" w:hAnsi="Calibri"/>
          <w:lang w:val="en-GB" w:bidi="th-TH"/>
        </w:rPr>
        <w:t>The total number of TB patients with known HIV infection during the study period was 3512, representing 70,4% of tested patients; 52,7% (1851 cases) were male. Patients aged from 15 to 49 years old represented 80% (2810 cases) of all TB/HIV-infected patients.</w:t>
      </w:r>
    </w:p>
    <w:p>
      <w:pPr>
        <w:pStyle w:val="Normal"/>
        <w:spacing w:lineRule="atLeast" w:line="400" w:before="120" w:after="120"/>
        <w:jc w:val="both"/>
        <w:rPr>
          <w:rFonts w:ascii="Calibri" w:hAnsi="Calibri"/>
          <w:iCs/>
          <w:u w:val="single"/>
          <w:lang w:val="en-GB" w:bidi="th-TH"/>
        </w:rPr>
      </w:pPr>
      <w:r>
        <w:rPr>
          <w:rFonts w:ascii="Calibri" w:hAnsi="Calibri"/>
          <w:iCs/>
          <w:u w:val="single"/>
          <w:lang w:val="en-GB" w:bidi="th-TH"/>
        </w:rPr>
      </w:r>
    </w:p>
    <w:p>
      <w:pPr>
        <w:pStyle w:val="Normal"/>
        <w:spacing w:lineRule="atLeast" w:line="400" w:before="120" w:after="120"/>
        <w:jc w:val="both"/>
        <w:rPr>
          <w:rFonts w:ascii="Calibri" w:hAnsi="Calibri"/>
          <w:u w:val="single"/>
          <w:lang w:val="en-GB"/>
        </w:rPr>
      </w:pPr>
      <w:r>
        <w:rPr>
          <w:rFonts w:ascii="Calibri" w:hAnsi="Calibri"/>
          <w:u w:val="single"/>
          <w:lang w:val="en-GB"/>
        </w:rPr>
        <w:t>TB type and smear testing</w:t>
      </w:r>
    </w:p>
    <w:p>
      <w:pPr>
        <w:pStyle w:val="Normal"/>
        <w:spacing w:lineRule="atLeast" w:line="400" w:before="120" w:after="120"/>
        <w:jc w:val="both"/>
        <w:rPr>
          <w:rFonts w:ascii="Calibri" w:hAnsi="Calibri"/>
          <w:lang w:val="en-GB"/>
        </w:rPr>
      </w:pPr>
      <w:r>
        <w:rPr>
          <w:rFonts w:ascii="Calibri" w:hAnsi="Calibri"/>
          <w:lang w:val="en-GB" w:bidi="th-TH"/>
        </w:rPr>
        <w:t>The total number of registered pulmonary cases was 8014 (83,8% of total number of cases) (table 1), out of which 6681 cases (83,4%) had a smear result, and 5018 cases (75,1%) had a smear positive result</w:t>
      </w:r>
      <w:r>
        <w:rPr>
          <w:rFonts w:ascii="Calibri" w:hAnsi="Calibri"/>
          <w:lang w:val="en-GB"/>
        </w:rPr>
        <w:t>.</w:t>
      </w:r>
    </w:p>
    <w:p>
      <w:pPr>
        <w:pStyle w:val="Normal"/>
        <w:spacing w:lineRule="atLeast" w:line="400" w:before="120" w:after="120"/>
        <w:jc w:val="both"/>
        <w:rPr>
          <w:rFonts w:ascii="Calibri" w:hAnsi="Calibri"/>
          <w:lang w:val="en-GB"/>
        </w:rPr>
      </w:pPr>
      <w:r>
        <w:rPr>
          <w:rFonts w:ascii="Calibri" w:hAnsi="Calibri"/>
          <w:lang w:val="en-GB"/>
        </w:rPr>
        <w:t xml:space="preserve">The amount of TB patients starting treatment who were tested for a smear test increased from 1997 until 2003, when 82,2% of them underwent AFB smear at diagnosis.  Afterwards proportions decreased until 2009 with 69,2% (566 cases), and for 2012 73,2% (751 cases) patients had a smear test done was ( figure 2). </w:t>
      </w:r>
    </w:p>
    <w:p>
      <w:pPr>
        <w:pStyle w:val="Normal"/>
        <w:spacing w:lineRule="atLeast" w:line="400" w:before="120" w:after="120"/>
        <w:jc w:val="both"/>
        <w:rPr>
          <w:rFonts w:ascii="Calibri" w:hAnsi="Calibri"/>
          <w:lang w:val="en-GB"/>
        </w:rPr>
      </w:pPr>
      <w:r>
        <w:rPr>
          <w:rFonts w:ascii="Calibri" w:hAnsi="Calibri"/>
          <w:lang w:val="en-GB"/>
        </w:rPr>
        <w:t xml:space="preserve">The proportion of smear negative results (among the pulmonary cases having a smear test) has increased during the study period, with 40% of pulmonary TB being smear negative in 2009-2012 (figure 3). </w:t>
      </w:r>
      <w:r>
        <w:rPr>
          <w:rFonts w:ascii="Calibri" w:hAnsi="Calibri"/>
          <w:shd w:fill="FFFF00" w:val="clear"/>
          <w:lang w:val="en-GB"/>
        </w:rPr>
        <w:t xml:space="preserve"> Chi-square for trend.</w:t>
      </w:r>
      <w:r>
        <w:rPr>
          <w:rFonts w:ascii="Calibri" w:hAnsi="Calibri"/>
          <w:lang w:val="en-GB"/>
        </w:rPr>
        <w:t xml:space="preserve">  </w:t>
      </w:r>
    </w:p>
    <w:p>
      <w:pPr>
        <w:pStyle w:val="Normal"/>
        <w:spacing w:lineRule="atLeast" w:line="400" w:before="120" w:after="120"/>
        <w:jc w:val="both"/>
        <w:rPr>
          <w:rFonts w:ascii="Calibri" w:hAnsi="Calibri"/>
          <w:lang w:val="en-GB"/>
        </w:rPr>
      </w:pPr>
      <w:r>
        <w:rPr>
          <w:rFonts w:ascii="Calibri" w:hAnsi="Calibri"/>
          <w:lang w:val="en-GB"/>
        </w:rPr>
        <w:t xml:space="preserve">Regarding HIV infection, 78,3% (923 cases) smear negative pulmonary TB were HIV-infected, while in smear positive pulmonary TB this proportion was 67,3% (1464 cases). </w:t>
      </w:r>
      <w:r>
        <w:rPr>
          <w:rFonts w:ascii="Calibri" w:hAnsi="Calibri"/>
          <w:shd w:fill="FFFF00" w:val="clear"/>
          <w:lang w:val="en-GB"/>
        </w:rPr>
        <w:t>p-value</w:t>
      </w:r>
      <w:r>
        <w:rPr>
          <w:rFonts w:ascii="Calibri" w:hAnsi="Calibri"/>
          <w:lang w:val="en-GB"/>
        </w:rPr>
        <w:t>?</w:t>
      </w:r>
    </w:p>
    <w:p>
      <w:pPr>
        <w:pStyle w:val="Normal"/>
        <w:spacing w:lineRule="atLeast" w:line="400"/>
        <w:jc w:val="both"/>
        <w:rPr>
          <w:rFonts w:ascii="Calibri" w:hAnsi="Calibri"/>
          <w:shd w:fill="FFFF00" w:val="clear"/>
          <w:lang w:val="en-GB" w:bidi="th-TH"/>
        </w:rPr>
      </w:pPr>
      <w:r>
        <w:rPr>
          <w:rFonts w:ascii="Calibri" w:hAnsi="Calibri"/>
          <w:lang w:val="en-GB" w:bidi="th-TH"/>
        </w:rPr>
        <w:t xml:space="preserve">Extrapulmonary TB (EPTB) accounted for 16,2% (1548 cases) of the total number of cases (table 1). From all the EPTB having an HIV status (879 cases), 666 cases (75,8%) were HIV-infected. Among HIV-infected patients the proportion of EPTB along the years was: 15,5% (58 cases), 21,6% (91 cases), 21,0 % (117 cases), 18,0 % (126 cases), 19,0% (134 cases) and 19,2% (132 cases) in the period of 2007 to 2012 respectively. </w:t>
      </w:r>
      <w:r>
        <w:rPr>
          <w:rFonts w:ascii="Calibri" w:hAnsi="Calibri"/>
          <w:shd w:fill="FFFF00" w:val="clear"/>
          <w:lang w:val="en-GB" w:bidi="th-TH"/>
        </w:rPr>
        <w:t>Any test?</w:t>
      </w:r>
    </w:p>
    <w:p>
      <w:pPr>
        <w:pStyle w:val="Normal"/>
        <w:spacing w:lineRule="atLeast" w:line="400"/>
        <w:jc w:val="both"/>
        <w:rPr>
          <w:rFonts w:ascii="Calibri" w:hAnsi="Calibri"/>
          <w:u w:val="single"/>
          <w:lang w:val="en-GB"/>
        </w:rPr>
      </w:pPr>
      <w:r>
        <w:rPr>
          <w:rFonts w:ascii="Calibri" w:hAnsi="Calibri"/>
          <w:u w:val="single"/>
          <w:lang w:val="en-GB"/>
        </w:rPr>
      </w:r>
    </w:p>
    <w:p>
      <w:pPr>
        <w:pStyle w:val="Normal"/>
        <w:spacing w:lineRule="atLeast" w:line="400"/>
        <w:jc w:val="both"/>
        <w:rPr>
          <w:rFonts w:ascii="Calibri" w:hAnsi="Calibri"/>
          <w:u w:val="single"/>
          <w:lang w:val="en-GB"/>
        </w:rPr>
      </w:pPr>
      <w:r>
        <w:rPr>
          <w:rFonts w:ascii="Calibri" w:hAnsi="Calibri"/>
          <w:u w:val="single"/>
          <w:lang w:val="en-GB"/>
        </w:rPr>
        <w:t>Previously treated vs new patients</w:t>
      </w:r>
    </w:p>
    <w:p>
      <w:pPr>
        <w:pStyle w:val="Normal"/>
        <w:spacing w:lineRule="atLeast" w:line="400" w:before="120" w:after="120"/>
        <w:jc w:val="both"/>
        <w:rPr>
          <w:rFonts w:ascii="Calibri" w:hAnsi="Calibri"/>
          <w:lang w:val="en-GB"/>
        </w:rPr>
      </w:pPr>
      <w:r>
        <w:rPr>
          <w:rFonts w:ascii="Calibri" w:hAnsi="Calibri"/>
          <w:lang w:val="en-GB"/>
        </w:rPr>
        <w:t>Along the study period 8496 cases (88,7%) were classified as new, 878 (9,2%) were previously treated patients (table 1). For 202 patients (2,1%)</w:t>
      </w:r>
      <w:commentRangeStart w:id="7"/>
      <w:r>
        <w:rPr>
          <w:rFonts w:ascii="Calibri" w:hAnsi="Calibri"/>
          <w:lang w:val="en-GB"/>
        </w:rPr>
        <w:t xml:space="preserve"> the previous TB treatment history was not known. </w:t>
      </w:r>
      <w:commentRangeEnd w:id="7"/>
      <w:r>
        <w:rPr>
          <w:rFonts w:ascii="Calibri" w:hAnsi="Calibri"/>
          <w:lang w:val="en-GB"/>
        </w:rPr>
      </w:r>
      <w:r>
        <w:rPr>
          <w:rFonts w:ascii="Calibri" w:hAnsi="Calibri"/>
          <w:lang w:val="en-GB"/>
        </w:rPr>
        <w:commentReference w:id="7"/>
      </w:r>
    </w:p>
    <w:p>
      <w:pPr>
        <w:pStyle w:val="Normal"/>
        <w:spacing w:lineRule="atLeast" w:line="400" w:before="120" w:after="120"/>
        <w:jc w:val="both"/>
        <w:rPr>
          <w:rFonts w:ascii="Calibri" w:hAnsi="Calibri"/>
          <w:lang w:val="en-GB"/>
        </w:rPr>
      </w:pPr>
      <w:r>
        <w:rPr>
          <w:rFonts w:ascii="Calibri" w:hAnsi="Calibri"/>
          <w:lang w:val="en-GB"/>
        </w:rPr>
        <w:t xml:space="preserve">In figure 2 we observe that the proportion of previously treated patients did not greatly vary along the years with a mean value of 9% (table 1). Among the previously treated patients having an HIV status, 74,6% (364 cases) were HIV-infected. </w:t>
      </w:r>
    </w:p>
    <w:p>
      <w:pPr>
        <w:pStyle w:val="Normal"/>
        <w:spacing w:lineRule="atLeast" w:line="400" w:before="120" w:after="120"/>
        <w:jc w:val="both"/>
        <w:rPr>
          <w:rFonts w:ascii="Calibri" w:hAnsi="Calibri"/>
          <w:lang w:val="en-GB"/>
        </w:rPr>
      </w:pPr>
      <w:r>
        <w:rPr>
          <w:rFonts w:ascii="Calibri" w:hAnsi="Calibri"/>
          <w:lang w:val="en-GB"/>
        </w:rPr>
        <w:t xml:space="preserve">From all previously treated patients within the study period, 44,0% (386 cases) were relapses, 13,6% (119 cases) were lost to follow up and 5,7% (50 cases) </w:t>
      </w:r>
      <w:commentRangeStart w:id="8"/>
      <w:r>
        <w:rPr>
          <w:rFonts w:ascii="Calibri" w:hAnsi="Calibri"/>
          <w:lang w:val="en-GB"/>
        </w:rPr>
        <w:t xml:space="preserve">treatment failure. </w:t>
      </w:r>
      <w:commentRangeEnd w:id="8"/>
      <w:r>
        <w:rPr>
          <w:rFonts w:ascii="Calibri" w:hAnsi="Calibri"/>
          <w:lang w:val="en-GB"/>
        </w:rPr>
      </w:r>
      <w:r>
        <w:rPr>
          <w:rFonts w:ascii="Calibri" w:hAnsi="Calibri"/>
          <w:lang w:val="en-GB"/>
        </w:rPr>
        <w:commentReference w:id="8"/>
      </w:r>
      <w:r>
        <w:rPr>
          <w:rFonts w:ascii="Calibri" w:hAnsi="Calibri"/>
          <w:lang w:val="en-GB"/>
        </w:rPr>
        <w:t xml:space="preserve">The remaining 36,7% (323 cases) were classified as “other” , “recurrent” or “MDR”. There were 3 diagnosed cases of MDRTB, 1 in 2011 and 2 in 2012.  </w:t>
      </w:r>
    </w:p>
    <w:p>
      <w:pPr>
        <w:pStyle w:val="Normal"/>
        <w:spacing w:lineRule="atLeast" w:line="400" w:before="120" w:after="120"/>
        <w:jc w:val="both"/>
        <w:rPr>
          <w:rFonts w:ascii="Calibri" w:hAnsi="Calibri"/>
          <w:iCs/>
          <w:lang w:val="en-GB" w:bidi="th-TH"/>
        </w:rPr>
      </w:pPr>
      <w:r>
        <w:rPr>
          <w:rFonts w:ascii="Calibri" w:hAnsi="Calibri"/>
          <w:iCs/>
          <w:lang w:val="en-GB" w:bidi="th-TH"/>
        </w:rPr>
        <w:t>Treatment failure along the years…</w:t>
      </w:r>
    </w:p>
    <w:p>
      <w:pPr>
        <w:pStyle w:val="Normal"/>
        <w:spacing w:lineRule="atLeast" w:line="400" w:before="120" w:after="120"/>
        <w:jc w:val="both"/>
        <w:rPr>
          <w:rFonts w:ascii="Calibri" w:hAnsi="Calibri"/>
          <w:iCs/>
          <w:lang w:val="en-GB" w:bidi="th-TH"/>
        </w:rPr>
      </w:pPr>
      <w:r>
        <w:rPr>
          <w:rFonts w:ascii="Calibri" w:hAnsi="Calibri"/>
          <w:iCs/>
          <w:lang w:val="en-GB" w:bidi="th-TH"/>
        </w:rPr>
      </w:r>
    </w:p>
    <w:p>
      <w:pPr>
        <w:pStyle w:val="Normal"/>
        <w:spacing w:lineRule="atLeast" w:line="400" w:before="120" w:after="120"/>
        <w:ind w:left="-1080" w:right="0" w:firstLine="1080"/>
        <w:jc w:val="both"/>
        <w:rPr>
          <w:rFonts w:ascii="Calibri" w:hAnsi="Calibri"/>
          <w:u w:val="single"/>
          <w:lang w:val="en-GB"/>
        </w:rPr>
      </w:pPr>
      <w:r>
        <w:rPr>
          <w:rFonts w:ascii="Calibri" w:hAnsi="Calibri"/>
          <w:u w:val="single"/>
          <w:lang w:val="en-GB"/>
        </w:rPr>
        <w:t>Treatment outcomes</w:t>
      </w:r>
    </w:p>
    <w:p>
      <w:pPr>
        <w:pStyle w:val="Normal"/>
        <w:spacing w:lineRule="atLeast" w:line="400" w:before="120" w:after="120"/>
        <w:jc w:val="both"/>
        <w:rPr>
          <w:rFonts w:cs="Angsana New" w:ascii="Calibri" w:hAnsi="Calibri"/>
          <w:lang w:val="en-GB" w:bidi="th-TH"/>
        </w:rPr>
      </w:pPr>
      <w:r>
        <w:rPr>
          <w:rFonts w:cs="Angsana New" w:ascii="Calibri" w:hAnsi="Calibri"/>
          <w:lang w:val="en-GB" w:bidi="th-TH"/>
        </w:rPr>
        <w:t xml:space="preserve">Over the study period the overall proportion of treatment success for registered patients was 70,8% (6534 cases), the proportion of cured patients decreased while treatment completed increased (figure 4).  A total of 1478 patients starting TB treatment died (16,0%) during the study period. </w:t>
      </w:r>
    </w:p>
    <w:p>
      <w:pPr>
        <w:pStyle w:val="Normal"/>
        <w:spacing w:lineRule="atLeast" w:line="400" w:before="120" w:after="120"/>
        <w:jc w:val="both"/>
        <w:rPr>
          <w:rFonts w:cs="Angsana New" w:ascii="Calibri" w:hAnsi="Calibri"/>
          <w:shd w:fill="FFFF00" w:val="clear"/>
          <w:lang w:val="en-GB" w:bidi="th-TH"/>
        </w:rPr>
      </w:pPr>
      <w:r>
        <w:rPr>
          <w:rFonts w:cs="Angsana New" w:ascii="Calibri" w:hAnsi="Calibri"/>
          <w:lang w:val="en-GB" w:bidi="th-TH"/>
        </w:rPr>
        <w:t xml:space="preserve">Overall women had a higher proportion of treatment success </w:t>
      </w:r>
      <w:commentRangeStart w:id="9"/>
      <w:r>
        <w:rPr>
          <w:rFonts w:cs="Angsana New" w:ascii="Calibri" w:hAnsi="Calibri"/>
          <w:lang w:val="en-GB" w:bidi="th-TH"/>
        </w:rPr>
        <w:t xml:space="preserve">73,5% of cases (2966) compared to 68,7% (3568) in men, </w:t>
      </w:r>
      <w:commentRangeEnd w:id="9"/>
      <w:r>
        <w:rPr>
          <w:rFonts w:cs="Angsana New" w:ascii="Calibri" w:hAnsi="Calibri"/>
          <w:lang w:val="en-GB" w:bidi="th-TH"/>
        </w:rPr>
      </w:r>
      <w:r>
        <w:rPr>
          <w:rFonts w:cs="Angsana New" w:ascii="Calibri" w:hAnsi="Calibri"/>
          <w:lang w:val="en-GB" w:bidi="th-TH"/>
        </w:rPr>
        <w:commentReference w:id="9"/>
      </w:r>
      <w:r>
        <w:rPr>
          <w:rFonts w:cs="Angsana New" w:ascii="Calibri" w:hAnsi="Calibri"/>
          <w:lang w:val="en-GB" w:bidi="th-TH"/>
        </w:rPr>
        <w:t xml:space="preserve">and less number of deaths: 14,7% (595 cases) compared to 17,0% (883), respectively. Lost to follow up as treatment outcome was also more frequent in men: 10,9% (568 cases) than in women 8,2% (329 cases). This outcome was also more frequent in children aged 0 to 4 (14.9% of all cases initiating treatment). </w:t>
      </w:r>
      <w:r>
        <w:rPr>
          <w:rFonts w:cs="Angsana New" w:ascii="Calibri" w:hAnsi="Calibri"/>
          <w:shd w:fill="FFFF00" w:val="clear"/>
          <w:lang w:val="en-GB" w:bidi="th-TH"/>
        </w:rPr>
        <w:t>Simple Chi-square</w:t>
      </w:r>
    </w:p>
    <w:p>
      <w:pPr>
        <w:pStyle w:val="Normal"/>
        <w:spacing w:lineRule="atLeast" w:line="400" w:before="120" w:after="120"/>
        <w:jc w:val="both"/>
        <w:rPr>
          <w:rFonts w:cs="Angsana New" w:ascii="Calibri" w:hAnsi="Calibri"/>
          <w:lang w:val="en-GB" w:bidi="th-TH"/>
        </w:rPr>
      </w:pPr>
      <w:r>
        <w:rPr>
          <w:rFonts w:cs="Angsana New" w:ascii="Calibri" w:hAnsi="Calibri"/>
          <w:lang w:val="en-GB" w:bidi="th-TH"/>
        </w:rPr>
        <w:t xml:space="preserve">Among patients with known HIV status, death was almost 2 times more frequent in HIV-positive patients: 17,3% (604 cases) against 8,7% </w:t>
      </w:r>
      <w:commentRangeStart w:id="10"/>
      <w:r>
        <w:rPr>
          <w:rFonts w:cs="Angsana New" w:ascii="Calibri" w:hAnsi="Calibri"/>
          <w:lang w:val="en-GB" w:bidi="th-TH"/>
        </w:rPr>
        <w:t xml:space="preserve">(126 cases) (figure 5). </w:t>
      </w:r>
      <w:r>
        <w:rPr>
          <w:rFonts w:cs="Angsana New" w:ascii="Calibri" w:hAnsi="Calibri"/>
          <w:shd w:fill="FFFF00" w:val="clear"/>
          <w:lang w:val="en-GB" w:bidi="th-TH"/>
        </w:rPr>
        <w:t>OR, confidence interval and p-value</w:t>
      </w:r>
      <w:r>
        <w:rPr>
          <w:rFonts w:cs="Angsana New" w:ascii="Calibri" w:hAnsi="Calibri"/>
          <w:lang w:val="en-GB" w:bidi="th-TH"/>
        </w:rPr>
        <w:t>.</w:t>
      </w:r>
      <w:commentRangeEnd w:id="10"/>
      <w:r>
        <w:rPr>
          <w:rFonts w:cs="Angsana New" w:ascii="Calibri" w:hAnsi="Calibri"/>
          <w:lang w:val="en-GB" w:bidi="th-TH"/>
        </w:rPr>
      </w:r>
      <w:r>
        <w:rPr>
          <w:rFonts w:cs="Angsana New" w:ascii="Calibri" w:hAnsi="Calibri"/>
          <w:lang w:val="en-GB" w:bidi="th-TH"/>
        </w:rPr>
        <w:commentReference w:id="10"/>
      </w:r>
      <w:r>
        <w:rPr>
          <w:rFonts w:cs="Angsana New" w:ascii="Calibri" w:hAnsi="Calibri"/>
          <w:lang w:val="en-GB" w:bidi="th-TH"/>
        </w:rPr>
        <w:t xml:space="preserve"> The age group having the highest proportions of deaths (among different outcomes) was people older than 65 with 18,0% (76 cases), followed by people of 30-49 years old with 17,8% (692 cases). </w:t>
      </w:r>
    </w:p>
    <w:p>
      <w:pPr>
        <w:pStyle w:val="Normal"/>
        <w:spacing w:lineRule="atLeast" w:line="400" w:before="120" w:after="120"/>
        <w:jc w:val="both"/>
        <w:rPr>
          <w:rFonts w:cs="Angsana New" w:ascii="Calibri" w:hAnsi="Calibri"/>
          <w:shd w:fill="FFFF00" w:val="clear"/>
          <w:lang w:val="en-GB" w:bidi="th-TH"/>
        </w:rPr>
      </w:pPr>
      <w:r>
        <w:rPr>
          <w:rFonts w:cs="Angsana New" w:ascii="Calibri" w:hAnsi="Calibri"/>
          <w:lang w:val="en-GB" w:bidi="th-TH"/>
        </w:rPr>
        <w:t xml:space="preserve">Treatment failed in similar proportions in HIV-positive patients and HIV negative patients: 1,1% (26 cases) against 1% (14 cases), respectively; and also for men and women: 1,2% (64 cases) and 1,3% (51 cases), respectively.  </w:t>
      </w:r>
      <w:r>
        <w:rPr>
          <w:rFonts w:cs="Angsana New" w:ascii="Calibri" w:hAnsi="Calibri"/>
          <w:shd w:fill="FFFF00" w:val="clear"/>
          <w:lang w:val="en-GB" w:bidi="th-TH"/>
        </w:rPr>
        <w:t>Simples chi-square</w:t>
      </w:r>
    </w:p>
    <w:p>
      <w:pPr>
        <w:pStyle w:val="Normal"/>
        <w:spacing w:lineRule="atLeast" w:line="400" w:before="120" w:after="120"/>
        <w:jc w:val="both"/>
        <w:rPr>
          <w:rFonts w:cs="Angsana New" w:ascii="Calibri" w:hAnsi="Calibri"/>
          <w:lang w:val="en-GB" w:bidi="th-TH"/>
        </w:rPr>
      </w:pPr>
      <w:r>
        <w:rPr>
          <w:rFonts w:cs="Angsana New" w:ascii="Calibri" w:hAnsi="Calibri"/>
          <w:lang w:val="en-GB" w:bidi="th-TH"/>
        </w:rPr>
      </w:r>
    </w:p>
    <w:p>
      <w:pPr>
        <w:pStyle w:val="Normal"/>
        <w:spacing w:lineRule="atLeast" w:line="400" w:before="120" w:after="120"/>
        <w:jc w:val="both"/>
        <w:rPr>
          <w:rFonts w:ascii="Calibri" w:hAnsi="Calibri"/>
          <w:b/>
          <w:iCs/>
          <w:u w:val="single"/>
          <w:lang w:val="en-GB" w:bidi="th-TH"/>
        </w:rPr>
      </w:pPr>
      <w:r>
        <w:rPr>
          <w:rFonts w:ascii="Calibri" w:hAnsi="Calibri"/>
          <w:b/>
          <w:iCs/>
          <w:u w:val="single"/>
          <w:lang w:val="en-GB" w:bidi="th-TH"/>
        </w:rPr>
        <w:t xml:space="preserve">DISCUSSION: </w:t>
      </w:r>
    </w:p>
    <w:p>
      <w:pPr>
        <w:pStyle w:val="Normal"/>
        <w:spacing w:lineRule="atLeast" w:line="400" w:before="120" w:after="120"/>
        <w:jc w:val="both"/>
        <w:rPr>
          <w:rFonts w:eastAsia="MingLiU" w:cs="Arial" w:ascii="Calibri" w:hAnsi="Calibri"/>
          <w:lang w:val="en-GB"/>
        </w:rPr>
      </w:pPr>
      <w:r>
        <w:rPr>
          <w:rFonts w:eastAsia="MingLiU" w:cs="Arial" w:ascii="Calibri" w:hAnsi="Calibri"/>
          <w:lang w:val="en-GB"/>
        </w:rPr>
        <w:t xml:space="preserve">This study shows that the incidence of tuberculosis in the District of Manhiça is increasing, in fact, the incidence rate has tripled over a 16 year period. According to our findings tuberculosis patients were mainly HIV positive young adults having a newly diagnosed pulmonary tuberculosis with an increasing trend of bacteriologically unconfirmed disease. Incidence was higher in men than in women, not only because of higher number of absolute cases, but also, as said before, female population doubling the male population in some age ranges (referencia). Although our incidence analysis does not differentiate HIV positive and negative patients as it is done elsewhere (11), we observed that people aged from 30-49 are the ones having the highest incidence for both genders, probably related to higher rates of HIV infection (12). </w:t>
      </w:r>
    </w:p>
    <w:p>
      <w:pPr>
        <w:pStyle w:val="Normal"/>
        <w:spacing w:lineRule="atLeast" w:line="400" w:before="120" w:after="120"/>
        <w:jc w:val="both"/>
        <w:rPr>
          <w:rFonts w:eastAsia="MingLiU" w:cs="Arial" w:ascii="Calibri" w:hAnsi="Calibri"/>
          <w:lang w:val="en-GB"/>
        </w:rPr>
      </w:pPr>
      <w:r>
        <w:rPr>
          <w:rFonts w:eastAsia="MingLiU" w:cs="Arial" w:ascii="Calibri" w:hAnsi="Calibri"/>
          <w:lang w:val="en-GB"/>
        </w:rPr>
      </w:r>
    </w:p>
    <w:p>
      <w:pPr>
        <w:pStyle w:val="Normal"/>
        <w:spacing w:lineRule="atLeast" w:line="400" w:before="120" w:after="120"/>
        <w:jc w:val="both"/>
        <w:rPr>
          <w:rFonts w:eastAsia="MingLiU" w:cs="Arial" w:ascii="Calibri" w:hAnsi="Calibri"/>
          <w:lang w:val="en-GB"/>
        </w:rPr>
      </w:pPr>
      <w:r>
        <w:rPr>
          <w:rFonts w:eastAsia="MingLiU" w:cs="Arial" w:ascii="Calibri" w:hAnsi="Calibri"/>
          <w:lang w:val="en-GB"/>
        </w:rPr>
        <w:t>The increasing number of smear negative tuberculosis patients, difficulties in implementing genexpert</w:t>
      </w:r>
    </w:p>
    <w:p>
      <w:pPr>
        <w:pStyle w:val="Normal"/>
        <w:spacing w:lineRule="atLeast" w:line="400" w:before="120" w:after="120"/>
        <w:jc w:val="both"/>
        <w:rPr>
          <w:rFonts w:eastAsia="MingLiU" w:cs="Arial" w:ascii="Calibri" w:hAnsi="Calibri"/>
          <w:lang w:val="en-GB"/>
        </w:rPr>
      </w:pPr>
      <w:r>
        <w:rPr>
          <w:rFonts w:eastAsia="MingLiU" w:cs="Arial" w:ascii="Calibri" w:hAnsi="Calibri"/>
          <w:lang w:val="en-GB"/>
        </w:rPr>
      </w:r>
    </w:p>
    <w:p>
      <w:pPr>
        <w:pStyle w:val="Normal"/>
        <w:spacing w:lineRule="atLeast" w:line="400" w:before="120" w:after="120"/>
        <w:jc w:val="both"/>
        <w:rPr>
          <w:rFonts w:eastAsia="MingLiU" w:cs="Arial" w:ascii="Calibri" w:hAnsi="Calibri"/>
          <w:lang w:val="en-GB"/>
        </w:rPr>
      </w:pPr>
      <w:r>
        <w:rPr>
          <w:rFonts w:eastAsia="MingLiU" w:cs="Arial" w:ascii="Calibri" w:hAnsi="Calibri"/>
          <w:lang w:val="en-GB"/>
        </w:rPr>
        <w:t xml:space="preserve">Missing data regarding IPT, CPT. </w:t>
      </w:r>
    </w:p>
    <w:p>
      <w:pPr>
        <w:pStyle w:val="Normal"/>
        <w:spacing w:lineRule="atLeast" w:line="400" w:before="120" w:after="120"/>
        <w:jc w:val="both"/>
        <w:rPr>
          <w:rFonts w:eastAsia="MingLiU" w:cs="Arial" w:ascii="Calibri" w:hAnsi="Calibri"/>
          <w:lang w:val="en-GB"/>
        </w:rPr>
      </w:pPr>
      <w:r>
        <w:rPr>
          <w:rFonts w:eastAsia="MingLiU" w:cs="Arial" w:ascii="Calibri" w:hAnsi="Calibri"/>
          <w:lang w:val="en-GB"/>
        </w:rPr>
      </w:r>
    </w:p>
    <w:p>
      <w:pPr>
        <w:pStyle w:val="Normal"/>
        <w:spacing w:lineRule="atLeast" w:line="400" w:before="120" w:after="120"/>
        <w:jc w:val="both"/>
        <w:rPr>
          <w:rFonts w:eastAsia="MingLiU" w:cs="Arial" w:ascii="Calibri" w:hAnsi="Calibri"/>
          <w:lang w:val="en-GB"/>
        </w:rPr>
      </w:pPr>
      <w:r>
        <w:rPr>
          <w:rFonts w:eastAsia="MingLiU" w:cs="Arial" w:ascii="Calibri" w:hAnsi="Calibri"/>
          <w:lang w:val="en-GB"/>
        </w:rPr>
        <w:t>Other TB incidence studies in neighbouring countries</w:t>
      </w:r>
    </w:p>
    <w:p>
      <w:pPr>
        <w:pStyle w:val="Normal"/>
        <w:spacing w:lineRule="atLeast" w:line="400" w:before="120" w:after="120"/>
        <w:jc w:val="both"/>
        <w:rPr>
          <w:rFonts w:eastAsia="MingLiU" w:cs="Arial" w:ascii="Calibri" w:hAnsi="Calibri"/>
          <w:lang w:val="en-GB"/>
        </w:rPr>
      </w:pPr>
      <w:r>
        <w:rPr>
          <w:rFonts w:eastAsia="MingLiU" w:cs="Arial" w:ascii="Calibri" w:hAnsi="Calibri"/>
          <w:lang w:val="en-GB"/>
        </w:rPr>
      </w:r>
    </w:p>
    <w:p>
      <w:pPr>
        <w:pStyle w:val="Normal"/>
        <w:spacing w:lineRule="atLeast" w:line="400" w:before="120" w:after="120"/>
        <w:jc w:val="both"/>
        <w:rPr>
          <w:rFonts w:eastAsia="MingLiU" w:cs="Arial" w:ascii="Calibri" w:hAnsi="Calibri"/>
          <w:lang w:val="en-GB"/>
        </w:rPr>
      </w:pPr>
      <w:commentRangeStart w:id="11"/>
      <w:r>
        <w:rPr>
          <w:rFonts w:eastAsia="MingLiU" w:cs="Arial" w:ascii="Calibri" w:hAnsi="Calibri"/>
          <w:lang w:val="en-GB"/>
        </w:rPr>
        <w:t xml:space="preserve">In 2005 the rapid roll-out of combined antiretroviral therapy (cART), initially held by a vertical “day hospital” approach, but soon decentralised to the existing public sector network permitted the National Tuberculosis Program to integrate HIV testing, counselling and ART initiation(13), constituting an step forward in unveiling the characteristics of tuberculosis patients. </w:t>
      </w:r>
      <w:commentRangeEnd w:id="11"/>
      <w:r>
        <w:rPr>
          <w:rFonts w:eastAsia="MingLiU" w:cs="Arial" w:ascii="Calibri" w:hAnsi="Calibri"/>
          <w:lang w:val="en-GB"/>
        </w:rPr>
      </w:r>
      <w:r>
        <w:rPr>
          <w:rFonts w:eastAsia="MingLiU" w:cs="Arial" w:ascii="Calibri" w:hAnsi="Calibri"/>
          <w:lang w:val="en-GB"/>
        </w:rPr>
        <w:commentReference w:id="11"/>
      </w:r>
    </w:p>
    <w:p>
      <w:pPr>
        <w:pStyle w:val="Normal"/>
        <w:spacing w:lineRule="atLeast" w:line="400" w:before="120" w:after="120"/>
        <w:jc w:val="both"/>
        <w:rPr>
          <w:rFonts w:eastAsia="MingLiU" w:cs="Arial" w:ascii="Calibri" w:hAnsi="Calibri"/>
          <w:lang w:val="en-GB"/>
        </w:rPr>
      </w:pPr>
      <w:r>
        <w:rPr>
          <w:rFonts w:eastAsia="MingLiU" w:cs="Arial" w:ascii="Calibri" w:hAnsi="Calibri"/>
          <w:lang w:val="en-GB"/>
        </w:rPr>
      </w:r>
    </w:p>
    <w:p>
      <w:pPr>
        <w:pStyle w:val="Normal"/>
        <w:spacing w:lineRule="atLeast" w:line="400" w:before="120" w:after="120"/>
        <w:jc w:val="both"/>
        <w:rPr>
          <w:rFonts w:eastAsia="MingLiU" w:cs="Arial" w:ascii="Calibri" w:hAnsi="Calibri"/>
          <w:lang w:val="en-GB"/>
        </w:rPr>
      </w:pPr>
      <w:r>
        <w:rPr>
          <w:rFonts w:eastAsia="MingLiU" w:cs="Arial" w:ascii="Calibri" w:hAnsi="Calibri"/>
          <w:lang w:val="en-GB"/>
        </w:rPr>
      </w:r>
    </w:p>
    <w:p>
      <w:pPr>
        <w:pStyle w:val="Normal"/>
        <w:spacing w:lineRule="atLeast" w:line="400" w:before="120" w:after="120"/>
        <w:jc w:val="both"/>
        <w:rPr>
          <w:rFonts w:eastAsia="MingLiU" w:cs="Arial" w:ascii="Calibri" w:hAnsi="Calibri"/>
          <w:lang w:val="en-GB"/>
        </w:rPr>
      </w:pPr>
      <w:r>
        <w:rPr>
          <w:rFonts w:eastAsia="MingLiU" w:cs="Arial" w:ascii="Calibri" w:hAnsi="Calibri"/>
          <w:lang w:val="en-GB"/>
        </w:rPr>
      </w:r>
    </w:p>
    <w:p>
      <w:pPr>
        <w:pStyle w:val="Normal"/>
        <w:spacing w:lineRule="atLeast" w:line="400" w:before="120" w:after="120"/>
        <w:jc w:val="both"/>
        <w:rPr>
          <w:rFonts w:eastAsia="MingLiU" w:cs="Arial" w:ascii="Calibri" w:hAnsi="Calibri"/>
          <w:lang w:val="en-GB"/>
        </w:rPr>
      </w:pPr>
      <w:r>
        <w:rPr>
          <w:rFonts w:eastAsia="MingLiU" w:cs="Arial" w:ascii="Calibri" w:hAnsi="Calibri"/>
          <w:lang w:val="en-GB"/>
        </w:rPr>
      </w:r>
    </w:p>
    <w:p>
      <w:pPr>
        <w:pStyle w:val="Normal"/>
        <w:spacing w:lineRule="atLeast" w:line="400" w:before="120" w:after="120"/>
        <w:jc w:val="both"/>
        <w:rPr>
          <w:rFonts w:eastAsia="MingLiU" w:cs="Arial" w:ascii="Calibri" w:hAnsi="Calibri"/>
          <w:lang w:val="en-GB"/>
        </w:rPr>
      </w:pPr>
      <w:r>
        <w:rPr>
          <w:rFonts w:eastAsia="MingLiU" w:cs="Arial" w:ascii="Calibri" w:hAnsi="Calibri"/>
          <w:lang w:val="en-GB"/>
        </w:rPr>
      </w:r>
    </w:p>
    <w:p>
      <w:pPr>
        <w:pStyle w:val="Normal"/>
        <w:spacing w:lineRule="atLeast" w:line="400" w:before="120" w:after="120"/>
        <w:jc w:val="both"/>
        <w:rPr>
          <w:rFonts w:eastAsia="MingLiU" w:cs="Arial" w:ascii="Calibri" w:hAnsi="Calibri"/>
          <w:lang w:val="en-GB"/>
        </w:rPr>
      </w:pPr>
      <w:r>
        <w:rPr>
          <w:rFonts w:eastAsia="MingLiU" w:cs="Arial" w:ascii="Calibri" w:hAnsi="Calibri"/>
          <w:lang w:val="en-GB"/>
        </w:rPr>
      </w:r>
    </w:p>
    <w:p>
      <w:pPr>
        <w:pStyle w:val="Normal"/>
        <w:spacing w:lineRule="atLeast" w:line="400" w:before="120" w:after="120"/>
        <w:jc w:val="both"/>
        <w:rPr>
          <w:rFonts w:eastAsia="MingLiU" w:cs="Arial" w:ascii="Calibri" w:hAnsi="Calibri"/>
          <w:b/>
          <w:lang w:val="en-GB"/>
        </w:rPr>
      </w:pPr>
      <w:r>
        <w:rPr>
          <w:rFonts w:eastAsia="MingLiU" w:cs="Arial" w:ascii="Calibri" w:hAnsi="Calibri"/>
          <w:b/>
          <w:lang w:val="en-GB"/>
        </w:rPr>
        <w:t>REFERENCES:</w:t>
      </w:r>
    </w:p>
    <w:p>
      <w:pPr>
        <w:pStyle w:val="Normal"/>
        <w:widowControl w:val="false"/>
        <w:spacing w:lineRule="atLeast" w:line="240" w:before="120" w:after="120"/>
        <w:ind w:left="640" w:right="0" w:hanging="640"/>
        <w:rPr>
          <w:rFonts w:cs="Calibri" w:ascii="Calibri" w:hAnsi="Calibri"/>
          <w:lang w:val="en-US"/>
        </w:rPr>
      </w:pPr>
      <w:r>
        <w:rPr>
          <w:rFonts w:cs="Calibri" w:ascii="Calibri" w:hAnsi="Calibri"/>
          <w:lang w:val="en-US"/>
        </w:rPr>
        <w:t xml:space="preserve">1. </w:t>
        <w:tab/>
        <w:t xml:space="preserve">Who. Global tuberculosis report 2014 (WHO/HTM/TB/2014.08). 2014; </w:t>
      </w:r>
    </w:p>
    <w:p>
      <w:pPr>
        <w:pStyle w:val="Normal"/>
        <w:widowControl w:val="false"/>
        <w:spacing w:lineRule="atLeast" w:line="240" w:before="120" w:after="120"/>
        <w:ind w:left="640" w:right="0" w:hanging="640"/>
        <w:rPr>
          <w:rFonts w:cs="Calibri" w:ascii="Calibri" w:hAnsi="Calibri"/>
          <w:lang w:val="en-US"/>
        </w:rPr>
      </w:pPr>
      <w:r>
        <w:rPr>
          <w:rFonts w:cs="Calibri" w:ascii="Calibri" w:hAnsi="Calibri"/>
          <w:lang w:val="en-US"/>
        </w:rPr>
        <w:t xml:space="preserve">2. </w:t>
        <w:tab/>
        <w:t>Salomao MA. The National Tuberculosis Control Programme in Mozambique, 1985-1990. Bull Int Union Tuberc Lung Dis [Internet]. 1991 Dec [cited 2015 Jun 2];66(4):175–8. Available from: http://www.ncbi.nlm.nih.gov/pubmed/1687510</w:t>
      </w:r>
    </w:p>
    <w:p>
      <w:pPr>
        <w:pStyle w:val="Normal"/>
        <w:widowControl w:val="false"/>
        <w:spacing w:lineRule="atLeast" w:line="240" w:before="120" w:after="120"/>
        <w:ind w:left="640" w:right="0" w:hanging="640"/>
        <w:rPr>
          <w:rFonts w:cs="Calibri" w:ascii="Calibri" w:hAnsi="Calibri"/>
          <w:lang w:val="en-US"/>
        </w:rPr>
      </w:pPr>
      <w:r>
        <w:rPr>
          <w:rFonts w:cs="Calibri" w:ascii="Calibri" w:hAnsi="Calibri"/>
          <w:lang w:val="en-US"/>
        </w:rPr>
        <w:t xml:space="preserve">3. </w:t>
        <w:tab/>
        <w:t xml:space="preserve">Murray CJ, DeJonghe E, Chum H, Nyangulu D, Salomao  a, Styblo K. Cost-effectiveness of Chemotherapy for Pulmonary Tuberculosis in Three Sub-Saharan African Countries. Lancet. 1991;338:1305–8. </w:t>
      </w:r>
    </w:p>
    <w:p>
      <w:pPr>
        <w:pStyle w:val="Normal"/>
        <w:widowControl w:val="false"/>
        <w:spacing w:lineRule="atLeast" w:line="240" w:before="120" w:after="120"/>
        <w:ind w:left="640" w:right="0" w:hanging="640"/>
        <w:rPr>
          <w:rFonts w:cs="Calibri" w:ascii="Calibri" w:hAnsi="Calibri"/>
          <w:lang w:val="en-US"/>
        </w:rPr>
      </w:pPr>
      <w:r>
        <w:rPr>
          <w:rFonts w:cs="Calibri" w:ascii="Calibri" w:hAnsi="Calibri"/>
          <w:lang w:val="en-US"/>
        </w:rPr>
        <w:t xml:space="preserve">4. </w:t>
        <w:tab/>
        <w:t xml:space="preserve">Cliff J, Walt G, Nhatave I. What ’ s in a Name ? Policy transfer in Mozambique : DOTS for tuberculosis and sy ... 2004; </w:t>
      </w:r>
    </w:p>
    <w:p>
      <w:pPr>
        <w:pStyle w:val="Normal"/>
        <w:widowControl w:val="false"/>
        <w:spacing w:lineRule="atLeast" w:line="240" w:before="120" w:after="120"/>
        <w:ind w:left="640" w:right="0" w:hanging="640"/>
        <w:rPr>
          <w:rFonts w:cs="Calibri" w:ascii="Calibri" w:hAnsi="Calibri"/>
        </w:rPr>
      </w:pPr>
      <w:r>
        <w:rPr>
          <w:rFonts w:cs="Calibri" w:ascii="Calibri" w:hAnsi="Calibri"/>
          <w:lang w:val="en-US"/>
        </w:rPr>
        <w:t xml:space="preserve">5. </w:t>
        <w:tab/>
        <w:t xml:space="preserve">Ogden J, Walt G, Lush L. The politics of “branding” in policy transfer: The case of DOTS for tuberculosis control. </w:t>
      </w:r>
      <w:r>
        <w:rPr>
          <w:rFonts w:cs="Calibri" w:ascii="Calibri" w:hAnsi="Calibri"/>
        </w:rPr>
        <w:t xml:space="preserve">Soc Sci Med. 2003;57(1):179–88. </w:t>
      </w:r>
    </w:p>
    <w:p>
      <w:pPr>
        <w:pStyle w:val="Normal"/>
        <w:widowControl w:val="false"/>
        <w:spacing w:lineRule="atLeast" w:line="240" w:before="120" w:after="120"/>
        <w:ind w:left="640" w:right="0" w:hanging="640"/>
        <w:rPr>
          <w:rFonts w:cs="Calibri" w:ascii="Calibri" w:hAnsi="Calibri"/>
          <w:lang w:val="en-US"/>
        </w:rPr>
      </w:pPr>
      <w:r>
        <w:rPr>
          <w:rFonts w:cs="Calibri" w:ascii="Calibri" w:hAnsi="Calibri"/>
        </w:rPr>
        <w:t xml:space="preserve">6. </w:t>
        <w:tab/>
        <w:t xml:space="preserve">Garcia-Basteiro  a. L, Lopez-Varela E, Respeito D, Gonzalez R, Naniche D, Manhica I, et al. </w:t>
      </w:r>
      <w:r>
        <w:rPr>
          <w:rFonts w:cs="Calibri" w:ascii="Calibri" w:hAnsi="Calibri"/>
          <w:lang w:val="en-US"/>
        </w:rPr>
        <w:t>High tuberculosis burden among people living with HIV in southern Mozambique. Eur Respir J [Internet]. 2014;45(2):547–9. Available from: http://erj.ersjournals.com/cgi/doi/10.1183/09031936.00145714</w:t>
      </w:r>
    </w:p>
    <w:p>
      <w:pPr>
        <w:pStyle w:val="Normal"/>
        <w:widowControl w:val="false"/>
        <w:spacing w:lineRule="atLeast" w:line="240" w:before="120" w:after="120"/>
        <w:ind w:left="640" w:right="0" w:hanging="640"/>
        <w:rPr>
          <w:rFonts w:cs="Calibri" w:ascii="Calibri" w:hAnsi="Calibri"/>
          <w:lang w:val="en-US"/>
        </w:rPr>
      </w:pPr>
      <w:r>
        <w:rPr>
          <w:rFonts w:cs="Calibri" w:ascii="Calibri" w:hAnsi="Calibri"/>
        </w:rPr>
        <w:t xml:space="preserve">7. </w:t>
        <w:tab/>
        <w:t xml:space="preserve">González R, Munguambe K, Aponte JJ, Bavo C, Nhalungo D, Macete E, et al. </w:t>
      </w:r>
      <w:r>
        <w:rPr>
          <w:rFonts w:cs="Calibri" w:ascii="Calibri" w:hAnsi="Calibri"/>
          <w:lang w:val="en-US"/>
        </w:rPr>
        <w:t xml:space="preserve">High HIV prevalence in a southern semi-rural area of Mozambique: A community-based survey. HIV Med. 2012;13(10):581–8. </w:t>
      </w:r>
    </w:p>
    <w:p>
      <w:pPr>
        <w:pStyle w:val="Normal"/>
        <w:widowControl w:val="false"/>
        <w:spacing w:lineRule="atLeast" w:line="240" w:before="120" w:after="120"/>
        <w:ind w:left="640" w:right="0" w:hanging="640"/>
        <w:rPr>
          <w:rFonts w:cs="Calibri" w:ascii="Calibri" w:hAnsi="Calibri"/>
          <w:lang w:val="en-US"/>
        </w:rPr>
      </w:pPr>
      <w:r>
        <w:rPr>
          <w:rFonts w:cs="Calibri" w:ascii="Calibri" w:hAnsi="Calibri"/>
          <w:lang w:val="en-US"/>
        </w:rPr>
        <w:t xml:space="preserve">8. </w:t>
        <w:tab/>
        <w:t>Organization WH. Definitions and reporting framework for tuberculosis–2013 revision [Internet]. 2013. Available from: http://apps.who.int/iris/handle/10665/79199</w:t>
      </w:r>
    </w:p>
    <w:p>
      <w:pPr>
        <w:pStyle w:val="Normal"/>
        <w:widowControl w:val="false"/>
        <w:spacing w:lineRule="atLeast" w:line="240" w:before="120" w:after="120"/>
        <w:ind w:left="640" w:right="0" w:hanging="640"/>
        <w:rPr>
          <w:rFonts w:cs="Calibri" w:ascii="Calibri" w:hAnsi="Calibri"/>
          <w:lang w:val="en-US"/>
        </w:rPr>
      </w:pPr>
      <w:r>
        <w:rPr>
          <w:rFonts w:cs="Calibri" w:ascii="Calibri" w:hAnsi="Calibri"/>
          <w:lang w:val="en-US"/>
        </w:rPr>
        <w:t xml:space="preserve">9. </w:t>
        <w:tab/>
        <w:t xml:space="preserve">Report GT. Methods used to estimate the global burden of disease caused by TB. 2012;2009(2):1–22. </w:t>
      </w:r>
    </w:p>
    <w:p>
      <w:pPr>
        <w:pStyle w:val="Normal"/>
        <w:widowControl w:val="false"/>
        <w:spacing w:lineRule="atLeast" w:line="240" w:before="120" w:after="120"/>
        <w:ind w:left="640" w:right="0" w:hanging="640"/>
        <w:rPr>
          <w:rFonts w:cs="Calibri" w:ascii="Calibri" w:hAnsi="Calibri"/>
        </w:rPr>
      </w:pPr>
      <w:r>
        <w:rPr>
          <w:rFonts w:cs="Calibri" w:ascii="Calibri" w:hAnsi="Calibri"/>
          <w:lang w:val="en-US"/>
        </w:rPr>
        <w:t xml:space="preserve">10. </w:t>
        <w:tab/>
        <w:t xml:space="preserve">Auld AF, Mbofana F, Shiraishi RW, Alfredo C, Sanchez M, Ellerbrock T V., et al. Incidence and Determinants of Tuberculosis among Adults Initiating Antiretroviral Therapy - Mozambique, 2004-2008. </w:t>
      </w:r>
      <w:r>
        <w:rPr>
          <w:rFonts w:cs="Calibri" w:ascii="Calibri" w:hAnsi="Calibri"/>
        </w:rPr>
        <w:t xml:space="preserve">PLoS One. 2013;8(1):2004–8. </w:t>
      </w:r>
    </w:p>
    <w:p>
      <w:pPr>
        <w:pStyle w:val="Normal"/>
        <w:widowControl w:val="false"/>
        <w:spacing w:lineRule="atLeast" w:line="240" w:before="120" w:after="120"/>
        <w:ind w:left="640" w:right="0" w:hanging="640"/>
        <w:rPr>
          <w:rFonts w:cs="Calibri" w:ascii="Calibri" w:hAnsi="Calibri"/>
          <w:lang w:val="en-US"/>
        </w:rPr>
      </w:pPr>
      <w:r>
        <w:rPr>
          <w:rFonts w:cs="Calibri" w:ascii="Calibri" w:hAnsi="Calibri"/>
        </w:rPr>
        <w:t xml:space="preserve">11. </w:t>
        <w:tab/>
        <w:t xml:space="preserve">García-Basteiro AL, López-Varela E, Respeito D, González R, Naniche D, Manhiça I, et al. </w:t>
      </w:r>
      <w:r>
        <w:rPr>
          <w:rFonts w:cs="Calibri" w:ascii="Calibri" w:hAnsi="Calibri"/>
          <w:lang w:val="en-US"/>
        </w:rPr>
        <w:t>High tuberculosis burden among people living with HIV in southern Mozambique. Eur Respir J [Internet]. 2015 Feb [cited 2015 Apr 22];45(2):547–9. Available from: http://www.ncbi.nlm.nih.gov/pubmed/25395030</w:t>
      </w:r>
    </w:p>
    <w:p>
      <w:pPr>
        <w:pStyle w:val="Normal"/>
        <w:widowControl w:val="false"/>
        <w:spacing w:lineRule="atLeast" w:line="240" w:before="120" w:after="120"/>
        <w:ind w:left="640" w:right="0" w:hanging="640"/>
        <w:rPr>
          <w:rFonts w:cs="Calibri" w:ascii="Calibri" w:hAnsi="Calibri"/>
          <w:lang w:val="en-US"/>
        </w:rPr>
      </w:pPr>
      <w:r>
        <w:rPr>
          <w:rFonts w:cs="Calibri" w:ascii="Calibri" w:hAnsi="Calibri"/>
        </w:rPr>
        <w:t xml:space="preserve">12. </w:t>
        <w:tab/>
        <w:t xml:space="preserve">Perez-Hoyos S, Naniche D, Macete E, Aponte J, Sacarlal J, Sigauque B, et al. </w:t>
      </w:r>
      <w:r>
        <w:rPr>
          <w:rFonts w:cs="Calibri" w:ascii="Calibri" w:hAnsi="Calibri"/>
          <w:lang w:val="en-US"/>
        </w:rPr>
        <w:t>Stabilization of HIV incidence in women of reproductive age in southern Mozambique. HIV Med [Internet]. 2011;500–5. Available from: http://www.ncbi.nlm.nih.gov/pubmed/21794055</w:t>
      </w:r>
    </w:p>
    <w:p>
      <w:pPr>
        <w:pStyle w:val="Normal"/>
        <w:widowControl w:val="false"/>
        <w:spacing w:lineRule="atLeast" w:line="240" w:before="120" w:after="120"/>
        <w:ind w:left="640" w:right="0" w:hanging="640"/>
        <w:rPr>
          <w:rFonts w:cs="Calibri" w:ascii="Calibri" w:hAnsi="Calibri"/>
          <w:lang w:val="en-US"/>
        </w:rPr>
      </w:pPr>
      <w:r>
        <w:rPr>
          <w:rFonts w:cs="Calibri" w:ascii="Calibri" w:hAnsi="Calibri"/>
          <w:lang w:val="en-US"/>
        </w:rPr>
        <w:t xml:space="preserve">13. </w:t>
        <w:tab/>
        <w:t xml:space="preserve">Pfeiffer J, Montoya P, Baptista AJ, Karagianis M, Pugas MDM, Micek M, et al. Integration of HIV/AIDS services into African primary health care: Lessons learned for health system strengthening in Mozambique - A case study. J Int AIDS Soc. 2010;13(1):1–9. </w:t>
      </w:r>
    </w:p>
    <w:p>
      <w:pPr>
        <w:pStyle w:val="Normal"/>
        <w:widowControl w:val="false"/>
        <w:spacing w:lineRule="atLeast" w:line="240" w:before="120" w:after="120"/>
        <w:ind w:left="640" w:right="0" w:hanging="640"/>
        <w:rPr>
          <w:rFonts w:eastAsia="MingLiU" w:cs="Arial" w:ascii="Calibri" w:hAnsi="Calibri"/>
          <w:lang w:val="en-GB"/>
        </w:rPr>
      </w:pPr>
      <w:r>
        <w:rPr>
          <w:rFonts w:eastAsia="MingLiU" w:cs="Arial" w:ascii="Calibri" w:hAnsi="Calibri"/>
          <w:lang w:val="en-GB"/>
        </w:rPr>
      </w:r>
    </w:p>
    <w:p>
      <w:pPr>
        <w:pStyle w:val="Normal"/>
        <w:widowControl w:val="false"/>
        <w:spacing w:before="120" w:after="120"/>
        <w:jc w:val="both"/>
        <w:rPr>
          <w:rFonts w:eastAsia="MingLiU" w:cs="Arial" w:ascii="Calibri" w:hAnsi="Calibri"/>
          <w:lang w:val="en-GB"/>
        </w:rPr>
      </w:pPr>
      <w:r>
        <w:rPr>
          <w:rFonts w:eastAsia="MingLiU" w:cs="Arial" w:ascii="Calibri" w:hAnsi="Calibri"/>
          <w:lang w:val="en-GB"/>
        </w:rPr>
      </w:r>
    </w:p>
    <w:p>
      <w:pPr>
        <w:pStyle w:val="Normal"/>
        <w:widowControl w:val="false"/>
        <w:spacing w:before="120" w:after="120"/>
        <w:jc w:val="both"/>
        <w:rPr>
          <w:rFonts w:eastAsia="MingLiU" w:cs="Arial" w:ascii="Calibri" w:hAnsi="Calibri"/>
          <w:lang w:val="en-GB"/>
        </w:rPr>
      </w:pPr>
      <w:r>
        <w:rPr>
          <w:rFonts w:eastAsia="MingLiU" w:cs="Arial" w:ascii="Calibri" w:hAnsi="Calibri"/>
          <w:lang w:val="en-GB"/>
        </w:rPr>
      </w:r>
    </w:p>
    <w:p>
      <w:pPr>
        <w:pStyle w:val="Normal"/>
        <w:widowControl w:val="false"/>
        <w:spacing w:before="120" w:after="120"/>
        <w:jc w:val="both"/>
        <w:rPr>
          <w:rFonts w:eastAsia="MingLiU" w:cs="Arial" w:ascii="Calibri" w:hAnsi="Calibri"/>
          <w:lang w:val="en-GB"/>
        </w:rPr>
      </w:pPr>
      <w:r>
        <w:rPr>
          <w:rFonts w:eastAsia="MingLiU" w:cs="Arial" w:ascii="Calibri" w:hAnsi="Calibri"/>
          <w:lang w:val="en-GB"/>
        </w:rPr>
      </w:r>
    </w:p>
    <w:p>
      <w:pPr>
        <w:pStyle w:val="Normal"/>
        <w:widowControl w:val="false"/>
        <w:spacing w:before="120" w:after="120"/>
        <w:jc w:val="both"/>
        <w:rPr>
          <w:rFonts w:eastAsia="MingLiU" w:cs="Arial" w:ascii="Calibri" w:hAnsi="Calibri"/>
          <w:lang w:val="en-GB"/>
        </w:rPr>
      </w:pPr>
      <w:r>
        <w:rPr>
          <w:rFonts w:eastAsia="MingLiU" w:cs="Arial" w:ascii="Calibri" w:hAnsi="Calibri"/>
          <w:lang w:val="en-GB"/>
        </w:rPr>
      </w:r>
    </w:p>
    <w:p>
      <w:pPr>
        <w:pStyle w:val="Normal"/>
        <w:widowControl w:val="false"/>
        <w:spacing w:before="120" w:after="120"/>
        <w:jc w:val="both"/>
        <w:rPr>
          <w:rFonts w:eastAsia="MingLiU" w:cs="Arial" w:ascii="Calibri" w:hAnsi="Calibri"/>
          <w:lang w:val="en-GB"/>
        </w:rPr>
      </w:pPr>
      <w:r>
        <w:rPr>
          <w:rFonts w:eastAsia="MingLiU" w:cs="Arial" w:ascii="Calibri" w:hAnsi="Calibri"/>
          <w:lang w:val="en-GB"/>
        </w:rPr>
      </w:r>
    </w:p>
    <w:p>
      <w:pPr>
        <w:pStyle w:val="Normal"/>
        <w:widowControl w:val="false"/>
        <w:spacing w:before="120" w:after="120"/>
        <w:jc w:val="both"/>
        <w:rPr>
          <w:rFonts w:eastAsia="MingLiU" w:cs="Arial" w:ascii="Calibri" w:hAnsi="Calibri"/>
          <w:lang w:val="en-GB"/>
        </w:rPr>
      </w:pPr>
      <w:r>
        <w:rPr>
          <w:rFonts w:eastAsia="MingLiU" w:cs="Arial" w:ascii="Calibri" w:hAnsi="Calibri"/>
          <w:lang w:val="en-GB"/>
        </w:rPr>
      </w:r>
    </w:p>
    <w:p>
      <w:pPr>
        <w:pStyle w:val="Normal"/>
        <w:widowControl w:val="false"/>
        <w:spacing w:before="120" w:after="120"/>
        <w:jc w:val="both"/>
        <w:rPr>
          <w:rFonts w:eastAsia="MingLiU" w:cs="Arial" w:ascii="Calibri" w:hAnsi="Calibri"/>
          <w:lang w:val="en-GB"/>
        </w:rPr>
      </w:pPr>
      <w:r>
        <w:rPr>
          <w:rFonts w:eastAsia="MingLiU" w:cs="Arial" w:ascii="Calibri" w:hAnsi="Calibri"/>
          <w:lang w:val="en-GB"/>
        </w:rPr>
      </w:r>
    </w:p>
    <w:p>
      <w:pPr>
        <w:pStyle w:val="Normal"/>
        <w:widowControl w:val="false"/>
        <w:spacing w:before="120" w:after="120"/>
        <w:jc w:val="both"/>
        <w:rPr>
          <w:rFonts w:eastAsia="MingLiU" w:cs="Arial" w:ascii="Calibri" w:hAnsi="Calibri"/>
          <w:lang w:val="en-GB"/>
        </w:rPr>
      </w:pPr>
      <w:r>
        <w:rPr>
          <w:rFonts w:eastAsia="MingLiU" w:cs="Arial" w:ascii="Calibri" w:hAnsi="Calibri"/>
          <w:lang w:val="en-GB"/>
        </w:rPr>
      </w:r>
    </w:p>
    <w:p>
      <w:pPr>
        <w:pStyle w:val="Normal"/>
        <w:widowControl w:val="false"/>
        <w:spacing w:before="120" w:after="120"/>
        <w:jc w:val="both"/>
        <w:rPr>
          <w:rFonts w:eastAsia="MingLiU" w:cs="Arial" w:ascii="Calibri" w:hAnsi="Calibri"/>
          <w:lang w:val="en-GB"/>
        </w:rPr>
      </w:pPr>
      <w:r>
        <w:rPr>
          <w:rFonts w:eastAsia="MingLiU" w:cs="Arial" w:ascii="Calibri" w:hAnsi="Calibri"/>
          <w:lang w:val="en-GB"/>
        </w:rPr>
      </w:r>
    </w:p>
    <w:p>
      <w:pPr>
        <w:pStyle w:val="Normal"/>
        <w:widowControl w:val="false"/>
        <w:spacing w:before="120" w:after="120"/>
        <w:jc w:val="both"/>
        <w:rPr>
          <w:rFonts w:eastAsia="MingLiU" w:cs="Arial" w:ascii="Calibri" w:hAnsi="Calibri"/>
          <w:lang w:val="en-GB"/>
        </w:rPr>
      </w:pPr>
      <w:r>
        <w:rPr>
          <w:rFonts w:eastAsia="MingLiU" w:cs="Arial" w:ascii="Calibri" w:hAnsi="Calibri"/>
          <w:lang w:val="en-GB"/>
        </w:rPr>
      </w:r>
    </w:p>
    <w:p>
      <w:pPr>
        <w:pStyle w:val="Normal"/>
        <w:widowControl w:val="false"/>
        <w:spacing w:before="120" w:after="120"/>
        <w:jc w:val="both"/>
        <w:rPr>
          <w:rFonts w:eastAsia="MingLiU" w:cs="Arial" w:ascii="Calibri" w:hAnsi="Calibri"/>
          <w:lang w:val="en-GB"/>
        </w:rPr>
      </w:pPr>
      <w:r>
        <w:rPr>
          <w:rFonts w:eastAsia="MingLiU" w:cs="Arial" w:ascii="Calibri" w:hAnsi="Calibri"/>
          <w:lang w:val="en-GB"/>
        </w:rPr>
      </w:r>
    </w:p>
    <w:p>
      <w:pPr>
        <w:pStyle w:val="Normal"/>
        <w:widowControl w:val="false"/>
        <w:spacing w:before="120" w:after="120"/>
        <w:jc w:val="both"/>
        <w:rPr>
          <w:rFonts w:eastAsia="MingLiU" w:cs="Arial" w:ascii="Calibri" w:hAnsi="Calibri"/>
          <w:lang w:val="en-GB"/>
        </w:rPr>
      </w:pPr>
      <w:r>
        <w:rPr>
          <w:rFonts w:eastAsia="MingLiU" w:cs="Arial" w:ascii="Calibri" w:hAnsi="Calibri"/>
          <w:lang w:val="en-GB"/>
        </w:rPr>
      </w:r>
    </w:p>
    <w:p>
      <w:pPr>
        <w:pStyle w:val="Normal"/>
        <w:widowControl w:val="false"/>
        <w:spacing w:before="120" w:after="120"/>
        <w:jc w:val="both"/>
        <w:rPr>
          <w:rFonts w:eastAsia="MingLiU" w:cs="Arial" w:ascii="Calibri" w:hAnsi="Calibri"/>
          <w:lang w:val="en-GB"/>
        </w:rPr>
      </w:pPr>
      <w:r>
        <w:rPr>
          <w:rFonts w:eastAsia="MingLiU" w:cs="Arial" w:ascii="Calibri" w:hAnsi="Calibri"/>
          <w:lang w:val="en-GB"/>
        </w:rPr>
      </w:r>
    </w:p>
    <w:p>
      <w:pPr>
        <w:pStyle w:val="Normal"/>
        <w:widowControl w:val="false"/>
        <w:spacing w:before="120" w:after="120"/>
        <w:jc w:val="both"/>
        <w:rPr>
          <w:rFonts w:eastAsia="MingLiU" w:cs="Arial" w:ascii="Calibri" w:hAnsi="Calibri"/>
          <w:lang w:val="en-GB"/>
        </w:rPr>
      </w:pPr>
      <w:r>
        <w:rPr>
          <w:rFonts w:eastAsia="MingLiU" w:cs="Arial" w:ascii="Calibri" w:hAnsi="Calibri"/>
          <w:lang w:val="en-GB"/>
        </w:rPr>
      </w:r>
    </w:p>
    <w:p>
      <w:pPr>
        <w:pStyle w:val="Normal"/>
        <w:widowControl w:val="false"/>
        <w:spacing w:before="120" w:after="120"/>
        <w:jc w:val="both"/>
        <w:rPr>
          <w:rFonts w:eastAsia="MingLiU" w:cs="Arial" w:ascii="Calibri" w:hAnsi="Calibri"/>
          <w:lang w:val="en-GB"/>
        </w:rPr>
      </w:pPr>
      <w:r>
        <w:rPr>
          <w:rFonts w:eastAsia="MingLiU" w:cs="Arial" w:ascii="Calibri" w:hAnsi="Calibri"/>
          <w:lang w:val="en-GB"/>
        </w:rPr>
      </w:r>
    </w:p>
    <w:p>
      <w:pPr>
        <w:pStyle w:val="Normal"/>
        <w:widowControl w:val="false"/>
        <w:spacing w:before="120" w:after="120"/>
        <w:jc w:val="both"/>
        <w:rPr>
          <w:rFonts w:eastAsia="MingLiU" w:cs="Arial" w:ascii="Calibri" w:hAnsi="Calibri"/>
          <w:lang w:val="en-GB"/>
        </w:rPr>
      </w:pPr>
      <w:r>
        <w:rPr>
          <w:rFonts w:eastAsia="MingLiU" w:cs="Arial" w:ascii="Calibri" w:hAnsi="Calibri"/>
          <w:lang w:val="en-GB"/>
        </w:rPr>
      </w:r>
    </w:p>
    <w:p>
      <w:pPr>
        <w:pStyle w:val="Normal"/>
        <w:widowControl w:val="false"/>
        <w:spacing w:before="120" w:after="120"/>
        <w:jc w:val="both"/>
        <w:rPr>
          <w:rFonts w:eastAsia="MingLiU" w:cs="Arial" w:ascii="Calibri" w:hAnsi="Calibri"/>
          <w:lang w:val="en-GB"/>
        </w:rPr>
      </w:pPr>
      <w:r>
        <w:rPr>
          <w:rFonts w:eastAsia="MingLiU" w:cs="Arial" w:ascii="Calibri" w:hAnsi="Calibri"/>
          <w:lang w:val="en-GB"/>
        </w:rPr>
      </w:r>
    </w:p>
    <w:p>
      <w:pPr>
        <w:pStyle w:val="Normal"/>
        <w:widowControl w:val="false"/>
        <w:spacing w:before="120" w:after="120"/>
        <w:jc w:val="both"/>
        <w:rPr>
          <w:rFonts w:eastAsia="MingLiU" w:cs="Arial" w:ascii="Calibri" w:hAnsi="Calibri"/>
          <w:lang w:val="en-GB"/>
        </w:rPr>
      </w:pPr>
      <w:r>
        <w:rPr>
          <w:rFonts w:eastAsia="MingLiU" w:cs="Arial" w:ascii="Calibri" w:hAnsi="Calibri"/>
          <w:lang w:val="en-GB"/>
        </w:rPr>
      </w:r>
    </w:p>
    <w:p>
      <w:pPr>
        <w:pStyle w:val="Normal"/>
        <w:widowControl w:val="false"/>
        <w:spacing w:before="120" w:after="120"/>
        <w:jc w:val="both"/>
        <w:rPr>
          <w:rFonts w:eastAsia="MingLiU" w:cs="Arial" w:ascii="Calibri" w:hAnsi="Calibri"/>
          <w:b/>
          <w:lang w:val="en-US"/>
        </w:rPr>
      </w:pPr>
      <w:r>
        <w:rPr>
          <w:rFonts w:eastAsia="MingLiU" w:cs="Arial" w:ascii="Calibri" w:hAnsi="Calibri"/>
          <w:b/>
          <w:lang w:val="en-US"/>
        </w:rPr>
      </w:r>
    </w:p>
    <w:p>
      <w:pPr>
        <w:pStyle w:val="Normal"/>
        <w:widowControl w:val="false"/>
        <w:spacing w:before="120" w:after="120"/>
        <w:jc w:val="both"/>
        <w:rPr>
          <w:rFonts w:eastAsia="MingLiU" w:cs="Arial" w:ascii="Calibri" w:hAnsi="Calibri"/>
          <w:b/>
          <w:lang w:val="en-US"/>
        </w:rPr>
      </w:pPr>
      <w:r>
        <w:rPr>
          <w:rFonts w:eastAsia="MingLiU" w:cs="Arial" w:ascii="Calibri" w:hAnsi="Calibri"/>
          <w:b/>
          <w:lang w:val="en-US"/>
        </w:rPr>
      </w:r>
    </w:p>
    <w:p>
      <w:pPr>
        <w:pStyle w:val="Normal"/>
        <w:widowControl w:val="false"/>
        <w:spacing w:before="120" w:after="120"/>
        <w:jc w:val="both"/>
        <w:rPr>
          <w:rFonts w:eastAsia="MingLiU" w:cs="Arial" w:ascii="Calibri" w:hAnsi="Calibri"/>
          <w:b/>
          <w:lang w:val="en-US"/>
        </w:rPr>
      </w:pPr>
      <w:r>
        <w:rPr>
          <w:rFonts w:eastAsia="MingLiU" w:cs="Arial" w:ascii="Calibri" w:hAnsi="Calibri"/>
          <w:b/>
          <w:lang w:val="en-US"/>
        </w:rPr>
      </w:r>
    </w:p>
    <w:p>
      <w:pPr>
        <w:pStyle w:val="Normal"/>
        <w:widowControl w:val="false"/>
        <w:spacing w:before="120" w:after="120"/>
        <w:jc w:val="both"/>
        <w:rPr>
          <w:rFonts w:eastAsia="MingLiU" w:cs="Arial" w:ascii="Calibri" w:hAnsi="Calibri"/>
          <w:b/>
          <w:lang w:val="en-US"/>
        </w:rPr>
      </w:pPr>
      <w:r>
        <w:rPr>
          <w:rFonts w:eastAsia="MingLiU" w:cs="Arial" w:ascii="Calibri" w:hAnsi="Calibri"/>
          <w:b/>
          <w:lang w:val="en-US"/>
        </w:rPr>
      </w:r>
    </w:p>
    <w:p>
      <w:pPr>
        <w:pStyle w:val="Normal"/>
        <w:widowControl w:val="false"/>
        <w:spacing w:before="120" w:after="120"/>
        <w:jc w:val="both"/>
        <w:rPr>
          <w:rFonts w:eastAsia="MingLiU" w:cs="Arial" w:ascii="Calibri" w:hAnsi="Calibri"/>
          <w:b/>
          <w:lang w:val="en-US"/>
        </w:rPr>
      </w:pPr>
      <w:r>
        <w:rPr>
          <w:rFonts w:eastAsia="MingLiU" w:cs="Arial" w:ascii="Calibri" w:hAnsi="Calibri"/>
          <w:b/>
          <w:lang w:val="en-US"/>
        </w:rPr>
      </w:r>
    </w:p>
    <w:p>
      <w:pPr>
        <w:pStyle w:val="Normal"/>
        <w:widowControl w:val="false"/>
        <w:spacing w:before="120" w:after="120"/>
        <w:jc w:val="both"/>
        <w:rPr>
          <w:rFonts w:eastAsia="MingLiU" w:cs="Arial" w:ascii="Calibri" w:hAnsi="Calibri"/>
          <w:b/>
          <w:lang w:val="en-US"/>
        </w:rPr>
      </w:pPr>
      <w:r>
        <w:rPr>
          <w:rFonts w:eastAsia="MingLiU" w:cs="Arial" w:ascii="Calibri" w:hAnsi="Calibri"/>
          <w:b/>
          <w:lang w:val="en-US"/>
        </w:rPr>
      </w:r>
    </w:p>
    <w:p>
      <w:pPr>
        <w:pStyle w:val="Normal"/>
        <w:widowControl w:val="false"/>
        <w:spacing w:before="120" w:after="120"/>
        <w:jc w:val="both"/>
        <w:rPr>
          <w:rFonts w:eastAsia="MingLiU" w:cs="Arial" w:ascii="Calibri" w:hAnsi="Calibri"/>
          <w:b/>
          <w:lang w:val="en-US"/>
        </w:rPr>
      </w:pPr>
      <w:r>
        <w:rPr>
          <w:rFonts w:eastAsia="MingLiU" w:cs="Arial" w:ascii="Calibri" w:hAnsi="Calibri"/>
          <w:b/>
          <w:lang w:val="en-US"/>
        </w:rPr>
      </w:r>
    </w:p>
    <w:p>
      <w:pPr>
        <w:pStyle w:val="Normal"/>
        <w:widowControl w:val="false"/>
        <w:spacing w:before="120" w:after="120"/>
        <w:jc w:val="both"/>
        <w:rPr>
          <w:rFonts w:eastAsia="MingLiU" w:cs="Arial" w:ascii="Calibri" w:hAnsi="Calibri"/>
          <w:b/>
          <w:lang w:val="en-US"/>
        </w:rPr>
      </w:pPr>
      <w:r>
        <w:rPr>
          <w:rFonts w:eastAsia="MingLiU" w:cs="Arial" w:ascii="Calibri" w:hAnsi="Calibri"/>
          <w:b/>
          <w:lang w:val="en-US"/>
        </w:rPr>
      </w:r>
    </w:p>
    <w:p>
      <w:pPr>
        <w:pStyle w:val="Normal"/>
        <w:widowControl w:val="false"/>
        <w:spacing w:before="120" w:after="120"/>
        <w:jc w:val="both"/>
        <w:rPr>
          <w:rFonts w:eastAsia="MingLiU" w:cs="Arial" w:ascii="Calibri" w:hAnsi="Calibri"/>
          <w:b/>
          <w:lang w:val="en-US"/>
        </w:rPr>
      </w:pPr>
      <w:r>
        <w:rPr>
          <w:rFonts w:eastAsia="MingLiU" w:cs="Arial" w:ascii="Calibri" w:hAnsi="Calibri"/>
          <w:b/>
          <w:lang w:val="en-US"/>
        </w:rPr>
      </w:r>
    </w:p>
    <w:p>
      <w:pPr>
        <w:pStyle w:val="Normal"/>
        <w:widowControl w:val="false"/>
        <w:spacing w:before="120" w:after="120"/>
        <w:jc w:val="both"/>
        <w:rPr>
          <w:rFonts w:eastAsia="MingLiU" w:cs="Arial" w:ascii="Calibri" w:hAnsi="Calibri"/>
          <w:b/>
          <w:lang w:val="en-US"/>
        </w:rPr>
      </w:pPr>
      <w:r>
        <w:rPr>
          <w:rFonts w:eastAsia="MingLiU" w:cs="Arial" w:ascii="Calibri" w:hAnsi="Calibri"/>
          <w:b/>
          <w:lang w:val="en-US"/>
        </w:rPr>
      </w:r>
    </w:p>
    <w:p>
      <w:pPr>
        <w:pStyle w:val="Normal"/>
        <w:widowControl w:val="false"/>
        <w:spacing w:before="120" w:after="120"/>
        <w:jc w:val="both"/>
        <w:rPr>
          <w:rFonts w:eastAsia="MingLiU" w:cs="Arial" w:ascii="Calibri" w:hAnsi="Calibri"/>
          <w:b/>
          <w:lang w:val="en-US"/>
        </w:rPr>
      </w:pPr>
      <w:r>
        <w:rPr>
          <w:rFonts w:eastAsia="MingLiU" w:cs="Arial" w:ascii="Calibri" w:hAnsi="Calibri"/>
          <w:b/>
          <w:lang w:val="en-US"/>
        </w:rPr>
      </w:r>
    </w:p>
    <w:p>
      <w:pPr>
        <w:pStyle w:val="Normal"/>
        <w:widowControl w:val="false"/>
        <w:spacing w:before="120" w:after="120"/>
        <w:jc w:val="both"/>
        <w:rPr>
          <w:rFonts w:eastAsia="MingLiU" w:cs="Arial" w:ascii="Calibri" w:hAnsi="Calibri"/>
          <w:b/>
          <w:lang w:val="en-US"/>
        </w:rPr>
      </w:pPr>
      <w:r>
        <w:rPr>
          <w:rFonts w:eastAsia="MingLiU" w:cs="Arial" w:ascii="Calibri" w:hAnsi="Calibri"/>
          <w:b/>
          <w:lang w:val="en-US"/>
        </w:rPr>
      </w:r>
    </w:p>
    <w:p>
      <w:pPr>
        <w:pStyle w:val="Normal"/>
        <w:widowControl w:val="false"/>
        <w:spacing w:before="120" w:after="120"/>
        <w:jc w:val="both"/>
        <w:rPr>
          <w:rFonts w:eastAsia="MingLiU" w:cs="Arial" w:ascii="Calibri" w:hAnsi="Calibri"/>
          <w:b/>
          <w:lang w:val="en-US"/>
        </w:rPr>
      </w:pPr>
      <w:r>
        <w:rPr>
          <w:rFonts w:eastAsia="MingLiU" w:cs="Arial" w:ascii="Calibri" w:hAnsi="Calibri"/>
          <w:b/>
          <w:lang w:val="en-US"/>
        </w:rPr>
      </w:r>
    </w:p>
    <w:p>
      <w:pPr>
        <w:pStyle w:val="Normal"/>
        <w:widowControl w:val="false"/>
        <w:spacing w:before="120" w:after="120"/>
        <w:jc w:val="both"/>
        <w:rPr>
          <w:rFonts w:eastAsia="MingLiU" w:cs="Arial" w:ascii="Calibri" w:hAnsi="Calibri"/>
          <w:b/>
          <w:lang w:val="en-US"/>
        </w:rPr>
      </w:pPr>
      <w:r>
        <w:rPr>
          <w:rFonts w:eastAsia="MingLiU" w:cs="Arial" w:ascii="Calibri" w:hAnsi="Calibri"/>
          <w:b/>
          <w:lang w:val="en-US"/>
        </w:rPr>
      </w:r>
    </w:p>
    <w:p>
      <w:pPr>
        <w:pStyle w:val="Normal"/>
        <w:widowControl w:val="false"/>
        <w:spacing w:before="120" w:after="120"/>
        <w:jc w:val="both"/>
        <w:rPr>
          <w:rFonts w:eastAsia="MingLiU" w:cs="Arial" w:ascii="Calibri" w:hAnsi="Calibri"/>
          <w:b/>
          <w:lang w:val="en-US"/>
        </w:rPr>
      </w:pPr>
      <w:r>
        <w:rPr>
          <w:rFonts w:eastAsia="MingLiU" w:cs="Arial" w:ascii="Calibri" w:hAnsi="Calibri"/>
          <w:b/>
          <w:lang w:val="en-US"/>
        </w:rPr>
      </w:r>
    </w:p>
    <w:p>
      <w:pPr>
        <w:pStyle w:val="Normal"/>
        <w:widowControl w:val="false"/>
        <w:spacing w:before="120" w:after="120"/>
        <w:jc w:val="both"/>
        <w:rPr>
          <w:rFonts w:eastAsia="MingLiU" w:cs="Arial" w:ascii="Calibri" w:hAnsi="Calibri"/>
          <w:b/>
          <w:lang w:val="en-US"/>
        </w:rPr>
      </w:pPr>
      <w:r>
        <w:rPr>
          <w:rFonts w:eastAsia="MingLiU" w:cs="Arial" w:ascii="Calibri" w:hAnsi="Calibri"/>
          <w:b/>
          <w:lang w:val="en-US"/>
        </w:rPr>
      </w:r>
    </w:p>
    <w:p>
      <w:pPr>
        <w:pStyle w:val="Normal"/>
        <w:widowControl w:val="false"/>
        <w:spacing w:before="120" w:after="120"/>
        <w:jc w:val="both"/>
        <w:rPr>
          <w:rFonts w:eastAsia="MingLiU" w:cs="Arial" w:ascii="Calibri" w:hAnsi="Calibri"/>
          <w:b/>
          <w:lang w:val="en-US"/>
        </w:rPr>
      </w:pPr>
      <w:r>
        <w:rPr>
          <w:rFonts w:eastAsia="MingLiU" w:cs="Arial" w:ascii="Calibri" w:hAnsi="Calibri"/>
          <w:b/>
          <w:lang w:val="en-US"/>
        </w:rPr>
      </w:r>
    </w:p>
    <w:p>
      <w:pPr>
        <w:pStyle w:val="Normal"/>
        <w:widowControl w:val="false"/>
        <w:spacing w:before="120" w:after="120"/>
        <w:jc w:val="both"/>
        <w:rPr>
          <w:rFonts w:eastAsia="MingLiU" w:cs="Arial" w:ascii="Calibri" w:hAnsi="Calibri"/>
          <w:b/>
          <w:lang w:val="en-US"/>
        </w:rPr>
      </w:pPr>
      <w:r>
        <w:rPr>
          <w:rFonts w:eastAsia="MingLiU" w:cs="Arial" w:ascii="Calibri" w:hAnsi="Calibri"/>
          <w:b/>
          <w:lang w:val="en-US"/>
        </w:rPr>
        <w:t>TABLES AND FIGURES:</w:t>
      </w:r>
    </w:p>
    <w:p>
      <w:pPr>
        <w:pStyle w:val="Normal"/>
        <w:widowControl w:val="false"/>
        <w:spacing w:before="120" w:after="120"/>
        <w:jc w:val="both"/>
        <w:rPr>
          <w:rFonts w:eastAsia="MingLiU" w:cs="Arial" w:ascii="Calibri" w:hAnsi="Calibri"/>
          <w:b/>
          <w:lang w:val="en-US"/>
        </w:rPr>
      </w:pPr>
      <w:r>
        <w:rPr>
          <w:rFonts w:eastAsia="MingLiU" w:cs="Arial" w:ascii="Calibri" w:hAnsi="Calibri"/>
          <w:b/>
          <w:lang w:val="en-US"/>
        </w:rPr>
      </w:r>
    </w:p>
    <w:p>
      <w:pPr>
        <w:pStyle w:val="Normal"/>
        <w:widowControl w:val="false"/>
        <w:spacing w:before="120" w:after="120"/>
        <w:jc w:val="both"/>
        <w:rPr>
          <w:rFonts w:eastAsia="MingLiU" w:cs="Arial" w:ascii="Calibri" w:hAnsi="Calibri"/>
          <w:lang w:val="en-GB"/>
        </w:rPr>
      </w:pPr>
      <w:r>
        <w:rPr>
          <w:rFonts w:eastAsia="MingLiU" w:cs="Arial" w:ascii="Calibri" w:hAnsi="Calibri"/>
          <w:lang w:val="en-GB"/>
        </w:rPr>
        <w:t>1) Table 1. Characteristics of TB patients starting treatment in the District of Manhiça (1997-2012)</w:t>
      </w:r>
    </w:p>
    <w:p>
      <w:pPr>
        <w:pStyle w:val="Normal"/>
        <w:rPr>
          <w:rFonts w:eastAsia="MingLiU"/>
          <w:lang w:val="en-GB"/>
        </w:rPr>
      </w:pPr>
      <w:r>
        <w:rPr>
          <w:rFonts w:eastAsia="MingLiU"/>
          <w:lang w:val="en-GB"/>
        </w:rPr>
      </w:r>
    </w:p>
    <w:tbl>
      <w:tblPr>
        <w:tblW w:w="8504" w:type="dxa"/>
        <w:jc w:val="left"/>
        <w:tblInd w:w="0" w:type="dxa"/>
        <w:tblBorders>
          <w:top w:val="single" w:sz="4" w:space="0" w:color="00000A"/>
          <w:left w:val="nil"/>
          <w:bottom w:val="nil"/>
          <w:insideH w:val="nil"/>
          <w:right w:val="nil"/>
          <w:insideV w:val="nil"/>
        </w:tblBorders>
        <w:tblCellMar>
          <w:top w:w="0" w:type="dxa"/>
          <w:left w:w="70" w:type="dxa"/>
          <w:bottom w:w="0" w:type="dxa"/>
          <w:right w:w="70" w:type="dxa"/>
        </w:tblCellMar>
      </w:tblPr>
      <w:tblGrid>
        <w:gridCol w:w="1668"/>
        <w:gridCol w:w="1362"/>
        <w:gridCol w:w="587"/>
        <w:gridCol w:w="521"/>
        <w:gridCol w:w="577"/>
        <w:gridCol w:w="521"/>
        <w:gridCol w:w="1"/>
        <w:gridCol w:w="576"/>
        <w:gridCol w:w="521"/>
        <w:gridCol w:w="2"/>
        <w:gridCol w:w="575"/>
        <w:gridCol w:w="521"/>
        <w:gridCol w:w="3"/>
        <w:gridCol w:w="556"/>
        <w:gridCol w:w="512"/>
      </w:tblGrid>
      <w:tr>
        <w:trPr>
          <w:trHeight w:val="300" w:hRule="atLeast"/>
          <w:cantSplit w:val="false"/>
        </w:trPr>
        <w:tc>
          <w:tcPr>
            <w:tcW w:w="1668" w:type="dxa"/>
            <w:tcBorders>
              <w:top w:val="single" w:sz="4" w:space="0" w:color="00000A"/>
              <w:left w:val="nil"/>
              <w:bottom w:val="nil"/>
              <w:insideH w:val="nil"/>
              <w:right w:val="nil"/>
              <w:insideV w:val="nil"/>
            </w:tcBorders>
            <w:shd w:fill="FFFFFF" w:val="clear"/>
            <w:vAlign w:val="bottom"/>
          </w:tcPr>
          <w:p>
            <w:pPr>
              <w:pStyle w:val="Normal"/>
              <w:rPr>
                <w:rFonts w:cs="Arial" w:ascii="Arial" w:hAnsi="Arial"/>
                <w:b/>
                <w:bCs/>
                <w:sz w:val="20"/>
                <w:szCs w:val="20"/>
              </w:rPr>
            </w:pPr>
            <w:r>
              <w:rPr>
                <w:rFonts w:cs="Arial" w:ascii="Arial" w:hAnsi="Arial"/>
                <w:b/>
                <w:bCs/>
                <w:sz w:val="20"/>
                <w:szCs w:val="20"/>
              </w:rPr>
              <w:t>Variables/ Years</w:t>
            </w:r>
          </w:p>
        </w:tc>
        <w:tc>
          <w:tcPr>
            <w:tcW w:w="1362" w:type="dxa"/>
            <w:tcBorders>
              <w:top w:val="single" w:sz="4" w:space="0" w:color="00000A"/>
              <w:left w:val="nil"/>
              <w:bottom w:val="nil"/>
              <w:insideH w:val="nil"/>
              <w:right w:val="nil"/>
              <w:insideV w:val="nil"/>
            </w:tcBorders>
            <w:shd w:fill="FFFFFF" w:val="clear"/>
            <w:vAlign w:val="bottom"/>
          </w:tcPr>
          <w:p>
            <w:pPr>
              <w:pStyle w:val="Normal"/>
              <w:rPr>
                <w:rFonts w:cs="Calibri" w:ascii="Calibri" w:hAnsi="Calibri"/>
                <w:color w:val="000000"/>
                <w:sz w:val="22"/>
                <w:szCs w:val="22"/>
              </w:rPr>
            </w:pPr>
            <w:r>
              <w:rPr>
                <w:rFonts w:cs="Calibri" w:ascii="Calibri" w:hAnsi="Calibri"/>
                <w:color w:val="000000"/>
                <w:sz w:val="22"/>
                <w:szCs w:val="22"/>
              </w:rPr>
              <w:t> </w:t>
            </w:r>
          </w:p>
        </w:tc>
        <w:tc>
          <w:tcPr>
            <w:tcW w:w="1108" w:type="dxa"/>
            <w:gridSpan w:val="2"/>
            <w:tcBorders>
              <w:top w:val="single" w:sz="4" w:space="0" w:color="00000A"/>
              <w:left w:val="nil"/>
              <w:bottom w:val="nil"/>
              <w:insideH w:val="nil"/>
              <w:right w:val="nil"/>
              <w:insideV w:val="nil"/>
            </w:tcBorders>
            <w:shd w:fill="FFFFFF" w:val="clear"/>
            <w:vAlign w:val="bottom"/>
          </w:tcPr>
          <w:p>
            <w:pPr>
              <w:pStyle w:val="Normal"/>
              <w:jc w:val="center"/>
              <w:rPr>
                <w:rFonts w:cs="Arial" w:ascii="Arial" w:hAnsi="Arial"/>
                <w:b/>
                <w:bCs/>
                <w:sz w:val="20"/>
                <w:szCs w:val="20"/>
              </w:rPr>
            </w:pPr>
            <w:r>
              <w:rPr>
                <w:rFonts w:cs="Arial" w:ascii="Arial" w:hAnsi="Arial"/>
                <w:b/>
                <w:bCs/>
                <w:sz w:val="20"/>
                <w:szCs w:val="20"/>
              </w:rPr>
              <w:t>1997-2000</w:t>
            </w:r>
          </w:p>
        </w:tc>
        <w:tc>
          <w:tcPr>
            <w:tcW w:w="1099" w:type="dxa"/>
            <w:gridSpan w:val="3"/>
            <w:tcBorders>
              <w:top w:val="single" w:sz="4" w:space="0" w:color="00000A"/>
              <w:left w:val="nil"/>
              <w:bottom w:val="nil"/>
              <w:insideH w:val="nil"/>
              <w:right w:val="nil"/>
              <w:insideV w:val="nil"/>
            </w:tcBorders>
            <w:shd w:fill="FFFFFF" w:val="clear"/>
            <w:vAlign w:val="bottom"/>
          </w:tcPr>
          <w:p>
            <w:pPr>
              <w:pStyle w:val="Normal"/>
              <w:jc w:val="center"/>
              <w:rPr>
                <w:rFonts w:cs="Arial" w:ascii="Arial" w:hAnsi="Arial"/>
                <w:b/>
                <w:bCs/>
                <w:sz w:val="20"/>
                <w:szCs w:val="20"/>
              </w:rPr>
            </w:pPr>
            <w:r>
              <w:rPr>
                <w:rFonts w:cs="Arial" w:ascii="Arial" w:hAnsi="Arial"/>
                <w:b/>
                <w:bCs/>
                <w:sz w:val="20"/>
                <w:szCs w:val="20"/>
              </w:rPr>
              <w:t>2001-2004</w:t>
            </w:r>
          </w:p>
        </w:tc>
        <w:tc>
          <w:tcPr>
            <w:tcW w:w="1099" w:type="dxa"/>
            <w:gridSpan w:val="3"/>
            <w:tcBorders>
              <w:top w:val="single" w:sz="4" w:space="0" w:color="00000A"/>
              <w:left w:val="nil"/>
              <w:bottom w:val="nil"/>
              <w:insideH w:val="nil"/>
              <w:right w:val="nil"/>
              <w:insideV w:val="nil"/>
            </w:tcBorders>
            <w:shd w:fill="FFFFFF" w:val="clear"/>
            <w:vAlign w:val="bottom"/>
          </w:tcPr>
          <w:p>
            <w:pPr>
              <w:pStyle w:val="Normal"/>
              <w:jc w:val="center"/>
              <w:rPr>
                <w:rFonts w:cs="Arial" w:ascii="Arial" w:hAnsi="Arial"/>
                <w:b/>
                <w:bCs/>
                <w:sz w:val="20"/>
                <w:szCs w:val="20"/>
              </w:rPr>
            </w:pPr>
            <w:r>
              <w:rPr>
                <w:rFonts w:cs="Arial" w:ascii="Arial" w:hAnsi="Arial"/>
                <w:b/>
                <w:bCs/>
                <w:sz w:val="20"/>
                <w:szCs w:val="20"/>
              </w:rPr>
              <w:t>2005-2008</w:t>
            </w:r>
          </w:p>
        </w:tc>
        <w:tc>
          <w:tcPr>
            <w:tcW w:w="1099" w:type="dxa"/>
            <w:gridSpan w:val="3"/>
            <w:tcBorders>
              <w:top w:val="single" w:sz="4" w:space="0" w:color="00000A"/>
              <w:left w:val="nil"/>
              <w:bottom w:val="nil"/>
              <w:insideH w:val="nil"/>
              <w:right w:val="nil"/>
              <w:insideV w:val="nil"/>
            </w:tcBorders>
            <w:shd w:fill="FFFFFF" w:val="clear"/>
            <w:vAlign w:val="bottom"/>
          </w:tcPr>
          <w:p>
            <w:pPr>
              <w:pStyle w:val="Normal"/>
              <w:jc w:val="center"/>
              <w:rPr>
                <w:rFonts w:cs="Arial" w:ascii="Arial" w:hAnsi="Arial"/>
                <w:b/>
                <w:bCs/>
                <w:sz w:val="20"/>
                <w:szCs w:val="20"/>
              </w:rPr>
            </w:pPr>
            <w:r>
              <w:rPr>
                <w:rFonts w:cs="Arial" w:ascii="Arial" w:hAnsi="Arial"/>
                <w:b/>
                <w:bCs/>
                <w:sz w:val="20"/>
                <w:szCs w:val="20"/>
              </w:rPr>
              <w:t>2009-2012</w:t>
            </w:r>
          </w:p>
        </w:tc>
        <w:tc>
          <w:tcPr>
            <w:tcW w:w="1068" w:type="dxa"/>
            <w:gridSpan w:val="2"/>
            <w:tcBorders>
              <w:top w:val="single" w:sz="4" w:space="0" w:color="00000A"/>
              <w:left w:val="nil"/>
              <w:bottom w:val="nil"/>
              <w:insideH w:val="nil"/>
              <w:right w:val="nil"/>
              <w:insideV w:val="nil"/>
            </w:tcBorders>
            <w:shd w:fill="FFFFFF" w:val="clear"/>
            <w:vAlign w:val="bottom"/>
          </w:tcPr>
          <w:p>
            <w:pPr>
              <w:pStyle w:val="Normal"/>
              <w:jc w:val="center"/>
              <w:rPr>
                <w:rFonts w:cs="Arial" w:ascii="Arial" w:hAnsi="Arial"/>
                <w:b/>
                <w:bCs/>
                <w:sz w:val="18"/>
                <w:szCs w:val="18"/>
              </w:rPr>
            </w:pPr>
            <w:r>
              <w:rPr>
                <w:rFonts w:cs="Arial" w:ascii="Arial" w:hAnsi="Arial"/>
                <w:b/>
                <w:bCs/>
                <w:sz w:val="18"/>
                <w:szCs w:val="18"/>
              </w:rPr>
              <w:t>Total</w:t>
            </w:r>
          </w:p>
        </w:tc>
      </w:tr>
      <w:tr>
        <w:trPr>
          <w:trHeight w:val="300" w:hRule="atLeast"/>
          <w:cantSplit w:val="false"/>
        </w:trPr>
        <w:tc>
          <w:tcPr>
            <w:tcW w:w="1668" w:type="dxa"/>
            <w:tcBorders>
              <w:top w:val="nil"/>
              <w:left w:val="nil"/>
              <w:bottom w:val="nil"/>
              <w:insideH w:val="nil"/>
              <w:right w:val="nil"/>
              <w:insideV w:val="nil"/>
            </w:tcBorders>
            <w:shd w:fill="FFFFFF" w:val="clear"/>
            <w:vAlign w:val="bottom"/>
          </w:tcPr>
          <w:p>
            <w:pPr>
              <w:pStyle w:val="Normal"/>
              <w:rPr>
                <w:rFonts w:cs="Arial" w:ascii="Arial" w:hAnsi="Arial"/>
                <w:b/>
                <w:bCs/>
                <w:sz w:val="20"/>
                <w:szCs w:val="20"/>
              </w:rPr>
            </w:pPr>
            <w:r>
              <w:rPr>
                <w:rFonts w:cs="Arial" w:ascii="Arial" w:hAnsi="Arial"/>
                <w:b/>
                <w:bCs/>
                <w:sz w:val="20"/>
                <w:szCs w:val="20"/>
              </w:rPr>
              <w:t> </w:t>
            </w:r>
          </w:p>
        </w:tc>
        <w:tc>
          <w:tcPr>
            <w:tcW w:w="1362" w:type="dxa"/>
            <w:tcBorders>
              <w:top w:val="nil"/>
              <w:left w:val="nil"/>
              <w:bottom w:val="nil"/>
              <w:insideH w:val="nil"/>
              <w:right w:val="nil"/>
              <w:insideV w:val="nil"/>
            </w:tcBorders>
            <w:shd w:fill="FFFFFF" w:val="clear"/>
            <w:vAlign w:val="bottom"/>
          </w:tcPr>
          <w:p>
            <w:pPr>
              <w:pStyle w:val="Normal"/>
              <w:rPr>
                <w:rFonts w:cs="Arial" w:ascii="Arial" w:hAnsi="Arial"/>
                <w:b/>
                <w:bCs/>
                <w:sz w:val="20"/>
                <w:szCs w:val="20"/>
              </w:rPr>
            </w:pPr>
            <w:r>
              <w:rPr>
                <w:rFonts w:cs="Arial" w:ascii="Arial" w:hAnsi="Arial"/>
                <w:b/>
                <w:bCs/>
                <w:sz w:val="20"/>
                <w:szCs w:val="20"/>
              </w:rPr>
              <w:t> </w:t>
            </w:r>
          </w:p>
        </w:tc>
        <w:tc>
          <w:tcPr>
            <w:tcW w:w="587"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N</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w:t>
            </w:r>
          </w:p>
        </w:tc>
        <w:tc>
          <w:tcPr>
            <w:tcW w:w="577"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N</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w:t>
            </w:r>
          </w:p>
        </w:tc>
        <w:tc>
          <w:tcPr>
            <w:tcW w:w="577"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N</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w:t>
            </w:r>
          </w:p>
        </w:tc>
        <w:tc>
          <w:tcPr>
            <w:tcW w:w="577"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N</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w:t>
            </w:r>
          </w:p>
        </w:tc>
        <w:tc>
          <w:tcPr>
            <w:tcW w:w="559" w:type="dxa"/>
            <w:gridSpan w:val="2"/>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N</w:t>
            </w:r>
          </w:p>
        </w:tc>
        <w:tc>
          <w:tcPr>
            <w:tcW w:w="512"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w:t>
            </w:r>
          </w:p>
        </w:tc>
      </w:tr>
      <w:tr>
        <w:trPr>
          <w:trHeight w:val="300" w:hRule="atLeast"/>
          <w:cantSplit w:val="false"/>
        </w:trPr>
        <w:tc>
          <w:tcPr>
            <w:tcW w:w="1668" w:type="dxa"/>
            <w:tcBorders>
              <w:top w:val="nil"/>
              <w:left w:val="nil"/>
              <w:bottom w:val="single" w:sz="4" w:space="0" w:color="00000A"/>
              <w:insideH w:val="single" w:sz="4" w:space="0" w:color="00000A"/>
              <w:right w:val="nil"/>
              <w:insideV w:val="nil"/>
            </w:tcBorders>
            <w:shd w:fill="FFFFFF" w:val="clear"/>
            <w:vAlign w:val="bottom"/>
          </w:tcPr>
          <w:p>
            <w:pPr>
              <w:pStyle w:val="Normal"/>
              <w:jc w:val="center"/>
              <w:rPr>
                <w:rFonts w:cs="Arial" w:ascii="Arial" w:hAnsi="Arial"/>
                <w:b/>
                <w:bCs/>
                <w:sz w:val="20"/>
                <w:szCs w:val="20"/>
              </w:rPr>
            </w:pPr>
            <w:r>
              <w:rPr>
                <w:rFonts w:cs="Arial" w:ascii="Arial" w:hAnsi="Arial"/>
                <w:b/>
                <w:bCs/>
                <w:sz w:val="20"/>
                <w:szCs w:val="20"/>
              </w:rPr>
              <w:t> </w:t>
            </w:r>
          </w:p>
        </w:tc>
        <w:tc>
          <w:tcPr>
            <w:tcW w:w="1362" w:type="dxa"/>
            <w:tcBorders>
              <w:top w:val="nil"/>
              <w:left w:val="nil"/>
              <w:bottom w:val="single" w:sz="4" w:space="0" w:color="00000A"/>
              <w:insideH w:val="single" w:sz="4" w:space="0" w:color="00000A"/>
              <w:right w:val="nil"/>
              <w:insideV w:val="nil"/>
            </w:tcBorders>
            <w:shd w:fill="FFFFFF" w:val="clear"/>
            <w:vAlign w:val="bottom"/>
          </w:tcPr>
          <w:p>
            <w:pPr>
              <w:pStyle w:val="Normal"/>
              <w:rPr>
                <w:rFonts w:cs="Arial" w:ascii="Arial" w:hAnsi="Arial"/>
                <w:b/>
                <w:bCs/>
                <w:sz w:val="20"/>
                <w:szCs w:val="20"/>
              </w:rPr>
            </w:pPr>
            <w:r>
              <w:rPr>
                <w:rFonts w:cs="Arial" w:ascii="Arial" w:hAnsi="Arial"/>
                <w:b/>
                <w:bCs/>
                <w:sz w:val="20"/>
                <w:szCs w:val="20"/>
              </w:rPr>
              <w:t> </w:t>
            </w:r>
          </w:p>
        </w:tc>
        <w:tc>
          <w:tcPr>
            <w:tcW w:w="587" w:type="dxa"/>
            <w:tcBorders>
              <w:top w:val="nil"/>
              <w:left w:val="nil"/>
              <w:bottom w:val="single" w:sz="4" w:space="0" w:color="00000A"/>
              <w:insideH w:val="single" w:sz="4" w:space="0" w:color="00000A"/>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 </w:t>
            </w:r>
          </w:p>
        </w:tc>
        <w:tc>
          <w:tcPr>
            <w:tcW w:w="521" w:type="dxa"/>
            <w:tcBorders>
              <w:top w:val="nil"/>
              <w:left w:val="nil"/>
              <w:bottom w:val="single" w:sz="4" w:space="0" w:color="00000A"/>
              <w:insideH w:val="single" w:sz="4" w:space="0" w:color="00000A"/>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 </w:t>
            </w:r>
          </w:p>
        </w:tc>
        <w:tc>
          <w:tcPr>
            <w:tcW w:w="577" w:type="dxa"/>
            <w:tcBorders>
              <w:top w:val="nil"/>
              <w:left w:val="nil"/>
              <w:bottom w:val="single" w:sz="4" w:space="0" w:color="00000A"/>
              <w:insideH w:val="single" w:sz="4" w:space="0" w:color="00000A"/>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 </w:t>
            </w:r>
          </w:p>
        </w:tc>
        <w:tc>
          <w:tcPr>
            <w:tcW w:w="521" w:type="dxa"/>
            <w:tcBorders>
              <w:top w:val="nil"/>
              <w:left w:val="nil"/>
              <w:bottom w:val="single" w:sz="4" w:space="0" w:color="00000A"/>
              <w:insideH w:val="single" w:sz="4" w:space="0" w:color="00000A"/>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 </w:t>
            </w:r>
          </w:p>
        </w:tc>
        <w:tc>
          <w:tcPr>
            <w:tcW w:w="577" w:type="dxa"/>
            <w:gridSpan w:val="2"/>
            <w:tcBorders>
              <w:top w:val="nil"/>
              <w:left w:val="nil"/>
              <w:bottom w:val="single" w:sz="4" w:space="0" w:color="00000A"/>
              <w:insideH w:val="single" w:sz="4" w:space="0" w:color="00000A"/>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 </w:t>
            </w:r>
          </w:p>
        </w:tc>
        <w:tc>
          <w:tcPr>
            <w:tcW w:w="521" w:type="dxa"/>
            <w:tcBorders>
              <w:top w:val="nil"/>
              <w:left w:val="nil"/>
              <w:bottom w:val="single" w:sz="4" w:space="0" w:color="00000A"/>
              <w:insideH w:val="single" w:sz="4" w:space="0" w:color="00000A"/>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 </w:t>
            </w:r>
          </w:p>
        </w:tc>
        <w:tc>
          <w:tcPr>
            <w:tcW w:w="577" w:type="dxa"/>
            <w:gridSpan w:val="2"/>
            <w:tcBorders>
              <w:top w:val="nil"/>
              <w:left w:val="nil"/>
              <w:bottom w:val="single" w:sz="4" w:space="0" w:color="00000A"/>
              <w:insideH w:val="single" w:sz="4" w:space="0" w:color="00000A"/>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 </w:t>
            </w:r>
          </w:p>
        </w:tc>
        <w:tc>
          <w:tcPr>
            <w:tcW w:w="521" w:type="dxa"/>
            <w:tcBorders>
              <w:top w:val="nil"/>
              <w:left w:val="nil"/>
              <w:bottom w:val="single" w:sz="4" w:space="0" w:color="00000A"/>
              <w:insideH w:val="single" w:sz="4" w:space="0" w:color="00000A"/>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 </w:t>
            </w:r>
          </w:p>
        </w:tc>
        <w:tc>
          <w:tcPr>
            <w:tcW w:w="559" w:type="dxa"/>
            <w:gridSpan w:val="2"/>
            <w:tcBorders>
              <w:top w:val="nil"/>
              <w:left w:val="nil"/>
              <w:bottom w:val="single" w:sz="4" w:space="0" w:color="00000A"/>
              <w:insideH w:val="single" w:sz="4" w:space="0" w:color="00000A"/>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 </w:t>
            </w:r>
          </w:p>
        </w:tc>
        <w:tc>
          <w:tcPr>
            <w:tcW w:w="512" w:type="dxa"/>
            <w:tcBorders>
              <w:top w:val="nil"/>
              <w:left w:val="nil"/>
              <w:bottom w:val="single" w:sz="4" w:space="0" w:color="00000A"/>
              <w:insideH w:val="single" w:sz="4" w:space="0" w:color="00000A"/>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 </w:t>
            </w:r>
          </w:p>
        </w:tc>
      </w:tr>
      <w:tr>
        <w:trPr>
          <w:trHeight w:val="300" w:hRule="atLeast"/>
          <w:cantSplit w:val="false"/>
        </w:trPr>
        <w:tc>
          <w:tcPr>
            <w:tcW w:w="1668" w:type="dxa"/>
            <w:tcBorders>
              <w:top w:val="nil"/>
              <w:left w:val="nil"/>
              <w:bottom w:val="nil"/>
              <w:insideH w:val="nil"/>
              <w:right w:val="nil"/>
              <w:insideV w:val="nil"/>
            </w:tcBorders>
            <w:shd w:fill="FFFFFF" w:val="clear"/>
            <w:vAlign w:val="bottom"/>
          </w:tcPr>
          <w:p>
            <w:pPr>
              <w:pStyle w:val="Normal"/>
              <w:rPr>
                <w:rFonts w:cs="Arial" w:ascii="Arial" w:hAnsi="Arial"/>
                <w:b/>
                <w:bCs/>
                <w:sz w:val="20"/>
                <w:szCs w:val="20"/>
              </w:rPr>
            </w:pPr>
            <w:r>
              <w:rPr>
                <w:rFonts w:cs="Arial" w:ascii="Arial" w:hAnsi="Arial"/>
                <w:b/>
                <w:bCs/>
                <w:sz w:val="20"/>
                <w:szCs w:val="20"/>
              </w:rPr>
              <w:t>Age groups</w:t>
            </w:r>
          </w:p>
        </w:tc>
        <w:tc>
          <w:tcPr>
            <w:tcW w:w="1362" w:type="dxa"/>
            <w:tcBorders>
              <w:top w:val="nil"/>
              <w:left w:val="nil"/>
              <w:bottom w:val="nil"/>
              <w:insideH w:val="nil"/>
              <w:right w:val="nil"/>
              <w:insideV w:val="nil"/>
            </w:tcBorders>
            <w:shd w:fill="FFFFFF" w:val="clear"/>
            <w:vAlign w:val="bottom"/>
          </w:tcPr>
          <w:p>
            <w:pPr>
              <w:pStyle w:val="Normal"/>
              <w:rPr>
                <w:rFonts w:cs="Arial" w:ascii="Arial" w:hAnsi="Arial"/>
                <w:b/>
                <w:bCs/>
                <w:sz w:val="20"/>
                <w:szCs w:val="20"/>
              </w:rPr>
            </w:pPr>
            <w:r>
              <w:rPr>
                <w:rFonts w:cs="Arial" w:ascii="Arial" w:hAnsi="Arial"/>
                <w:b/>
                <w:bCs/>
                <w:sz w:val="20"/>
                <w:szCs w:val="20"/>
              </w:rPr>
              <w:t>0 a 4</w:t>
            </w:r>
          </w:p>
        </w:tc>
        <w:tc>
          <w:tcPr>
            <w:tcW w:w="587"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194</w:t>
            </w:r>
          </w:p>
        </w:tc>
        <w:tc>
          <w:tcPr>
            <w:tcW w:w="521"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15,6</w:t>
            </w:r>
          </w:p>
        </w:tc>
        <w:tc>
          <w:tcPr>
            <w:tcW w:w="577"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145</w:t>
            </w:r>
          </w:p>
        </w:tc>
        <w:tc>
          <w:tcPr>
            <w:tcW w:w="521"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7,4</w:t>
            </w:r>
          </w:p>
        </w:tc>
        <w:tc>
          <w:tcPr>
            <w:tcW w:w="577" w:type="dxa"/>
            <w:gridSpan w:val="2"/>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212</w:t>
            </w:r>
          </w:p>
        </w:tc>
        <w:tc>
          <w:tcPr>
            <w:tcW w:w="521"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8,2</w:t>
            </w:r>
          </w:p>
        </w:tc>
        <w:tc>
          <w:tcPr>
            <w:tcW w:w="577" w:type="dxa"/>
            <w:gridSpan w:val="2"/>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287</w:t>
            </w:r>
          </w:p>
        </w:tc>
        <w:tc>
          <w:tcPr>
            <w:tcW w:w="521"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7,6</w:t>
            </w:r>
          </w:p>
        </w:tc>
        <w:tc>
          <w:tcPr>
            <w:tcW w:w="559" w:type="dxa"/>
            <w:gridSpan w:val="2"/>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838</w:t>
            </w:r>
          </w:p>
        </w:tc>
        <w:tc>
          <w:tcPr>
            <w:tcW w:w="512"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8,8</w:t>
            </w:r>
          </w:p>
        </w:tc>
      </w:tr>
      <w:tr>
        <w:trPr>
          <w:trHeight w:val="300" w:hRule="atLeast"/>
          <w:cantSplit w:val="false"/>
        </w:trPr>
        <w:tc>
          <w:tcPr>
            <w:tcW w:w="1668" w:type="dxa"/>
            <w:tcBorders>
              <w:top w:val="nil"/>
              <w:left w:val="nil"/>
              <w:bottom w:val="nil"/>
              <w:insideH w:val="nil"/>
              <w:right w:val="nil"/>
              <w:insideV w:val="nil"/>
            </w:tcBorders>
            <w:shd w:fill="FFFFFF" w:val="clear"/>
            <w:vAlign w:val="bottom"/>
          </w:tcPr>
          <w:p>
            <w:pPr>
              <w:pStyle w:val="Normal"/>
              <w:rPr>
                <w:rFonts w:cs="Arial" w:ascii="Arial" w:hAnsi="Arial"/>
                <w:b/>
                <w:bCs/>
                <w:sz w:val="20"/>
                <w:szCs w:val="20"/>
              </w:rPr>
            </w:pPr>
            <w:r>
              <w:rPr>
                <w:rFonts w:cs="Arial" w:ascii="Arial" w:hAnsi="Arial"/>
                <w:b/>
                <w:bCs/>
                <w:sz w:val="20"/>
                <w:szCs w:val="20"/>
              </w:rPr>
              <w:t> </w:t>
            </w:r>
          </w:p>
        </w:tc>
        <w:tc>
          <w:tcPr>
            <w:tcW w:w="1362" w:type="dxa"/>
            <w:tcBorders>
              <w:top w:val="nil"/>
              <w:left w:val="nil"/>
              <w:bottom w:val="nil"/>
              <w:insideH w:val="nil"/>
              <w:right w:val="nil"/>
              <w:insideV w:val="nil"/>
            </w:tcBorders>
            <w:shd w:fill="FFFFFF" w:val="clear"/>
            <w:vAlign w:val="bottom"/>
          </w:tcPr>
          <w:p>
            <w:pPr>
              <w:pStyle w:val="Normal"/>
              <w:rPr>
                <w:rFonts w:cs="Arial" w:ascii="Arial" w:hAnsi="Arial"/>
                <w:b/>
                <w:bCs/>
                <w:sz w:val="20"/>
                <w:szCs w:val="20"/>
              </w:rPr>
            </w:pPr>
            <w:r>
              <w:rPr>
                <w:rFonts w:cs="Arial" w:ascii="Arial" w:hAnsi="Arial"/>
                <w:b/>
                <w:bCs/>
                <w:sz w:val="20"/>
                <w:szCs w:val="20"/>
              </w:rPr>
              <w:t>5 a 14</w:t>
            </w:r>
          </w:p>
        </w:tc>
        <w:tc>
          <w:tcPr>
            <w:tcW w:w="587"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43</w:t>
            </w:r>
          </w:p>
        </w:tc>
        <w:tc>
          <w:tcPr>
            <w:tcW w:w="521"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3,5</w:t>
            </w:r>
          </w:p>
        </w:tc>
        <w:tc>
          <w:tcPr>
            <w:tcW w:w="577"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70</w:t>
            </w:r>
          </w:p>
        </w:tc>
        <w:tc>
          <w:tcPr>
            <w:tcW w:w="521"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3,6</w:t>
            </w:r>
          </w:p>
        </w:tc>
        <w:tc>
          <w:tcPr>
            <w:tcW w:w="577" w:type="dxa"/>
            <w:gridSpan w:val="2"/>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134</w:t>
            </w:r>
          </w:p>
        </w:tc>
        <w:tc>
          <w:tcPr>
            <w:tcW w:w="521"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5,2</w:t>
            </w:r>
          </w:p>
        </w:tc>
        <w:tc>
          <w:tcPr>
            <w:tcW w:w="577" w:type="dxa"/>
            <w:gridSpan w:val="2"/>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145</w:t>
            </w:r>
          </w:p>
        </w:tc>
        <w:tc>
          <w:tcPr>
            <w:tcW w:w="521"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3,9</w:t>
            </w:r>
          </w:p>
        </w:tc>
        <w:tc>
          <w:tcPr>
            <w:tcW w:w="559" w:type="dxa"/>
            <w:gridSpan w:val="2"/>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392</w:t>
            </w:r>
          </w:p>
        </w:tc>
        <w:tc>
          <w:tcPr>
            <w:tcW w:w="512"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4,1</w:t>
            </w:r>
          </w:p>
        </w:tc>
      </w:tr>
      <w:tr>
        <w:trPr>
          <w:trHeight w:val="300" w:hRule="atLeast"/>
          <w:cantSplit w:val="false"/>
        </w:trPr>
        <w:tc>
          <w:tcPr>
            <w:tcW w:w="1668" w:type="dxa"/>
            <w:tcBorders>
              <w:top w:val="nil"/>
              <w:left w:val="nil"/>
              <w:bottom w:val="nil"/>
              <w:insideH w:val="nil"/>
              <w:right w:val="nil"/>
              <w:insideV w:val="nil"/>
            </w:tcBorders>
            <w:shd w:fill="FFFFFF" w:val="clear"/>
            <w:vAlign w:val="bottom"/>
          </w:tcPr>
          <w:p>
            <w:pPr>
              <w:pStyle w:val="Normal"/>
              <w:rPr>
                <w:rFonts w:cs="Arial" w:ascii="Arial" w:hAnsi="Arial"/>
                <w:b/>
                <w:bCs/>
                <w:sz w:val="20"/>
                <w:szCs w:val="20"/>
              </w:rPr>
            </w:pPr>
            <w:r>
              <w:rPr>
                <w:rFonts w:cs="Arial" w:ascii="Arial" w:hAnsi="Arial"/>
                <w:b/>
                <w:bCs/>
                <w:sz w:val="20"/>
                <w:szCs w:val="20"/>
              </w:rPr>
              <w:t> </w:t>
            </w:r>
          </w:p>
        </w:tc>
        <w:tc>
          <w:tcPr>
            <w:tcW w:w="1362" w:type="dxa"/>
            <w:tcBorders>
              <w:top w:val="nil"/>
              <w:left w:val="nil"/>
              <w:bottom w:val="nil"/>
              <w:insideH w:val="nil"/>
              <w:right w:val="nil"/>
              <w:insideV w:val="nil"/>
            </w:tcBorders>
            <w:shd w:fill="FFFFFF" w:val="clear"/>
            <w:vAlign w:val="bottom"/>
          </w:tcPr>
          <w:p>
            <w:pPr>
              <w:pStyle w:val="Normal"/>
              <w:rPr>
                <w:rFonts w:cs="Arial" w:ascii="Arial" w:hAnsi="Arial"/>
                <w:b/>
                <w:bCs/>
                <w:sz w:val="20"/>
                <w:szCs w:val="20"/>
              </w:rPr>
            </w:pPr>
            <w:r>
              <w:rPr>
                <w:rFonts w:cs="Arial" w:ascii="Arial" w:hAnsi="Arial"/>
                <w:b/>
                <w:bCs/>
                <w:sz w:val="20"/>
                <w:szCs w:val="20"/>
              </w:rPr>
              <w:t>15 a 29</w:t>
            </w:r>
          </w:p>
        </w:tc>
        <w:tc>
          <w:tcPr>
            <w:tcW w:w="587"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275</w:t>
            </w:r>
          </w:p>
        </w:tc>
        <w:tc>
          <w:tcPr>
            <w:tcW w:w="521"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22,1</w:t>
            </w:r>
          </w:p>
        </w:tc>
        <w:tc>
          <w:tcPr>
            <w:tcW w:w="577"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579</w:t>
            </w:r>
          </w:p>
        </w:tc>
        <w:tc>
          <w:tcPr>
            <w:tcW w:w="521"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29,6</w:t>
            </w:r>
          </w:p>
        </w:tc>
        <w:tc>
          <w:tcPr>
            <w:tcW w:w="577" w:type="dxa"/>
            <w:gridSpan w:val="2"/>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707</w:t>
            </w:r>
          </w:p>
        </w:tc>
        <w:tc>
          <w:tcPr>
            <w:tcW w:w="521"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27,4</w:t>
            </w:r>
          </w:p>
        </w:tc>
        <w:tc>
          <w:tcPr>
            <w:tcW w:w="577" w:type="dxa"/>
            <w:gridSpan w:val="2"/>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923</w:t>
            </w:r>
          </w:p>
        </w:tc>
        <w:tc>
          <w:tcPr>
            <w:tcW w:w="521"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24,5</w:t>
            </w:r>
          </w:p>
        </w:tc>
        <w:tc>
          <w:tcPr>
            <w:tcW w:w="559" w:type="dxa"/>
            <w:gridSpan w:val="2"/>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2484</w:t>
            </w:r>
          </w:p>
        </w:tc>
        <w:tc>
          <w:tcPr>
            <w:tcW w:w="512"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26</w:t>
            </w:r>
          </w:p>
        </w:tc>
      </w:tr>
      <w:tr>
        <w:trPr>
          <w:trHeight w:val="300" w:hRule="atLeast"/>
          <w:cantSplit w:val="false"/>
        </w:trPr>
        <w:tc>
          <w:tcPr>
            <w:tcW w:w="1668" w:type="dxa"/>
            <w:tcBorders>
              <w:top w:val="nil"/>
              <w:left w:val="nil"/>
              <w:bottom w:val="nil"/>
              <w:insideH w:val="nil"/>
              <w:right w:val="nil"/>
              <w:insideV w:val="nil"/>
            </w:tcBorders>
            <w:shd w:fill="FFFFFF" w:val="clear"/>
            <w:vAlign w:val="bottom"/>
          </w:tcPr>
          <w:p>
            <w:pPr>
              <w:pStyle w:val="Normal"/>
              <w:rPr>
                <w:rFonts w:cs="Arial" w:ascii="Arial" w:hAnsi="Arial"/>
                <w:b/>
                <w:bCs/>
                <w:sz w:val="20"/>
                <w:szCs w:val="20"/>
              </w:rPr>
            </w:pPr>
            <w:r>
              <w:rPr>
                <w:rFonts w:cs="Arial" w:ascii="Arial" w:hAnsi="Arial"/>
                <w:b/>
                <w:bCs/>
                <w:sz w:val="20"/>
                <w:szCs w:val="20"/>
              </w:rPr>
              <w:t> </w:t>
            </w:r>
          </w:p>
        </w:tc>
        <w:tc>
          <w:tcPr>
            <w:tcW w:w="1362" w:type="dxa"/>
            <w:tcBorders>
              <w:top w:val="nil"/>
              <w:left w:val="nil"/>
              <w:bottom w:val="nil"/>
              <w:insideH w:val="nil"/>
              <w:right w:val="nil"/>
              <w:insideV w:val="nil"/>
            </w:tcBorders>
            <w:shd w:fill="FFFFFF" w:val="clear"/>
            <w:vAlign w:val="bottom"/>
          </w:tcPr>
          <w:p>
            <w:pPr>
              <w:pStyle w:val="Normal"/>
              <w:rPr>
                <w:rFonts w:cs="Arial" w:ascii="Arial" w:hAnsi="Arial"/>
                <w:b/>
                <w:bCs/>
                <w:sz w:val="20"/>
                <w:szCs w:val="20"/>
              </w:rPr>
            </w:pPr>
            <w:r>
              <w:rPr>
                <w:rFonts w:cs="Arial" w:ascii="Arial" w:hAnsi="Arial"/>
                <w:b/>
                <w:bCs/>
                <w:sz w:val="20"/>
                <w:szCs w:val="20"/>
              </w:rPr>
              <w:t>30 a 49</w:t>
            </w:r>
          </w:p>
        </w:tc>
        <w:tc>
          <w:tcPr>
            <w:tcW w:w="587"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444</w:t>
            </w:r>
          </w:p>
        </w:tc>
        <w:tc>
          <w:tcPr>
            <w:tcW w:w="521"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35,7</w:t>
            </w:r>
          </w:p>
        </w:tc>
        <w:tc>
          <w:tcPr>
            <w:tcW w:w="577"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783</w:t>
            </w:r>
          </w:p>
        </w:tc>
        <w:tc>
          <w:tcPr>
            <w:tcW w:w="521"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40,1</w:t>
            </w:r>
          </w:p>
        </w:tc>
        <w:tc>
          <w:tcPr>
            <w:tcW w:w="577" w:type="dxa"/>
            <w:gridSpan w:val="2"/>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1067</w:t>
            </w:r>
          </w:p>
        </w:tc>
        <w:tc>
          <w:tcPr>
            <w:tcW w:w="521"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41,3</w:t>
            </w:r>
          </w:p>
        </w:tc>
        <w:tc>
          <w:tcPr>
            <w:tcW w:w="577" w:type="dxa"/>
            <w:gridSpan w:val="2"/>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1720</w:t>
            </w:r>
          </w:p>
        </w:tc>
        <w:tc>
          <w:tcPr>
            <w:tcW w:w="521"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45,7</w:t>
            </w:r>
          </w:p>
        </w:tc>
        <w:tc>
          <w:tcPr>
            <w:tcW w:w="559" w:type="dxa"/>
            <w:gridSpan w:val="2"/>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4014</w:t>
            </w:r>
          </w:p>
        </w:tc>
        <w:tc>
          <w:tcPr>
            <w:tcW w:w="512"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42,1</w:t>
            </w:r>
          </w:p>
        </w:tc>
      </w:tr>
      <w:tr>
        <w:trPr>
          <w:trHeight w:val="300" w:hRule="atLeast"/>
          <w:cantSplit w:val="false"/>
        </w:trPr>
        <w:tc>
          <w:tcPr>
            <w:tcW w:w="1668" w:type="dxa"/>
            <w:tcBorders>
              <w:top w:val="nil"/>
              <w:left w:val="nil"/>
              <w:bottom w:val="nil"/>
              <w:insideH w:val="nil"/>
              <w:right w:val="nil"/>
              <w:insideV w:val="nil"/>
            </w:tcBorders>
            <w:shd w:fill="FFFFFF" w:val="clear"/>
            <w:vAlign w:val="bottom"/>
          </w:tcPr>
          <w:p>
            <w:pPr>
              <w:pStyle w:val="Normal"/>
              <w:rPr>
                <w:rFonts w:cs="Arial" w:ascii="Arial" w:hAnsi="Arial"/>
                <w:b/>
                <w:bCs/>
                <w:sz w:val="20"/>
                <w:szCs w:val="20"/>
              </w:rPr>
            </w:pPr>
            <w:r>
              <w:rPr>
                <w:rFonts w:cs="Arial" w:ascii="Arial" w:hAnsi="Arial"/>
                <w:b/>
                <w:bCs/>
                <w:sz w:val="20"/>
                <w:szCs w:val="20"/>
              </w:rPr>
              <w:t> </w:t>
            </w:r>
          </w:p>
        </w:tc>
        <w:tc>
          <w:tcPr>
            <w:tcW w:w="1362" w:type="dxa"/>
            <w:tcBorders>
              <w:top w:val="nil"/>
              <w:left w:val="nil"/>
              <w:bottom w:val="nil"/>
              <w:insideH w:val="nil"/>
              <w:right w:val="nil"/>
              <w:insideV w:val="nil"/>
            </w:tcBorders>
            <w:shd w:fill="FFFFFF" w:val="clear"/>
            <w:vAlign w:val="bottom"/>
          </w:tcPr>
          <w:p>
            <w:pPr>
              <w:pStyle w:val="Normal"/>
              <w:rPr>
                <w:rFonts w:cs="Arial" w:ascii="Arial" w:hAnsi="Arial"/>
                <w:b/>
                <w:bCs/>
                <w:sz w:val="20"/>
                <w:szCs w:val="20"/>
              </w:rPr>
            </w:pPr>
            <w:r>
              <w:rPr>
                <w:rFonts w:cs="Arial" w:ascii="Arial" w:hAnsi="Arial"/>
                <w:b/>
                <w:bCs/>
                <w:sz w:val="20"/>
                <w:szCs w:val="20"/>
              </w:rPr>
              <w:t>50 a 64</w:t>
            </w:r>
          </w:p>
        </w:tc>
        <w:tc>
          <w:tcPr>
            <w:tcW w:w="587"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222</w:t>
            </w:r>
          </w:p>
        </w:tc>
        <w:tc>
          <w:tcPr>
            <w:tcW w:w="521"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17,8</w:t>
            </w:r>
          </w:p>
        </w:tc>
        <w:tc>
          <w:tcPr>
            <w:tcW w:w="577"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292</w:t>
            </w:r>
          </w:p>
        </w:tc>
        <w:tc>
          <w:tcPr>
            <w:tcW w:w="521"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14,9</w:t>
            </w:r>
          </w:p>
        </w:tc>
        <w:tc>
          <w:tcPr>
            <w:tcW w:w="577" w:type="dxa"/>
            <w:gridSpan w:val="2"/>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354</w:t>
            </w:r>
          </w:p>
        </w:tc>
        <w:tc>
          <w:tcPr>
            <w:tcW w:w="521"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13,7</w:t>
            </w:r>
          </w:p>
        </w:tc>
        <w:tc>
          <w:tcPr>
            <w:tcW w:w="577" w:type="dxa"/>
            <w:gridSpan w:val="2"/>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513</w:t>
            </w:r>
          </w:p>
        </w:tc>
        <w:tc>
          <w:tcPr>
            <w:tcW w:w="521"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13,6</w:t>
            </w:r>
          </w:p>
        </w:tc>
        <w:tc>
          <w:tcPr>
            <w:tcW w:w="559" w:type="dxa"/>
            <w:gridSpan w:val="2"/>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1381</w:t>
            </w:r>
          </w:p>
        </w:tc>
        <w:tc>
          <w:tcPr>
            <w:tcW w:w="512"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14,5</w:t>
            </w:r>
          </w:p>
        </w:tc>
      </w:tr>
      <w:tr>
        <w:trPr>
          <w:trHeight w:val="300" w:hRule="atLeast"/>
          <w:cantSplit w:val="false"/>
        </w:trPr>
        <w:tc>
          <w:tcPr>
            <w:tcW w:w="1668" w:type="dxa"/>
            <w:tcBorders>
              <w:top w:val="nil"/>
              <w:left w:val="nil"/>
              <w:bottom w:val="nil"/>
              <w:insideH w:val="nil"/>
              <w:right w:val="nil"/>
              <w:insideV w:val="nil"/>
            </w:tcBorders>
            <w:shd w:fill="FFFFFF" w:val="clear"/>
            <w:vAlign w:val="bottom"/>
          </w:tcPr>
          <w:p>
            <w:pPr>
              <w:pStyle w:val="Normal"/>
              <w:rPr>
                <w:rFonts w:cs="Arial" w:ascii="Arial" w:hAnsi="Arial"/>
                <w:b/>
                <w:bCs/>
                <w:sz w:val="20"/>
                <w:szCs w:val="20"/>
              </w:rPr>
            </w:pPr>
            <w:r>
              <w:rPr>
                <w:rFonts w:cs="Arial" w:ascii="Arial" w:hAnsi="Arial"/>
                <w:b/>
                <w:bCs/>
                <w:sz w:val="20"/>
                <w:szCs w:val="20"/>
              </w:rPr>
              <w:t> </w:t>
            </w:r>
          </w:p>
        </w:tc>
        <w:tc>
          <w:tcPr>
            <w:tcW w:w="1362" w:type="dxa"/>
            <w:tcBorders>
              <w:top w:val="nil"/>
              <w:left w:val="nil"/>
              <w:bottom w:val="nil"/>
              <w:insideH w:val="nil"/>
              <w:right w:val="nil"/>
              <w:insideV w:val="nil"/>
            </w:tcBorders>
            <w:shd w:fill="FFFFFF" w:val="clear"/>
            <w:vAlign w:val="bottom"/>
          </w:tcPr>
          <w:p>
            <w:pPr>
              <w:pStyle w:val="Normal"/>
              <w:rPr>
                <w:rFonts w:cs="Arial" w:ascii="Arial" w:hAnsi="Arial"/>
                <w:b/>
                <w:bCs/>
                <w:sz w:val="20"/>
                <w:szCs w:val="20"/>
              </w:rPr>
            </w:pPr>
            <w:r>
              <w:rPr>
                <w:rFonts w:cs="Arial" w:ascii="Arial" w:hAnsi="Arial"/>
                <w:b/>
                <w:bCs/>
                <w:sz w:val="20"/>
                <w:szCs w:val="20"/>
              </w:rPr>
              <w:t>&gt; 65</w:t>
            </w:r>
          </w:p>
        </w:tc>
        <w:tc>
          <w:tcPr>
            <w:tcW w:w="587"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66</w:t>
            </w:r>
          </w:p>
        </w:tc>
        <w:tc>
          <w:tcPr>
            <w:tcW w:w="521"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5,3</w:t>
            </w:r>
          </w:p>
        </w:tc>
        <w:tc>
          <w:tcPr>
            <w:tcW w:w="577"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85</w:t>
            </w:r>
          </w:p>
        </w:tc>
        <w:tc>
          <w:tcPr>
            <w:tcW w:w="521"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4,4</w:t>
            </w:r>
          </w:p>
        </w:tc>
        <w:tc>
          <w:tcPr>
            <w:tcW w:w="577" w:type="dxa"/>
            <w:gridSpan w:val="2"/>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109</w:t>
            </w:r>
          </w:p>
        </w:tc>
        <w:tc>
          <w:tcPr>
            <w:tcW w:w="521"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4,2</w:t>
            </w:r>
          </w:p>
        </w:tc>
        <w:tc>
          <w:tcPr>
            <w:tcW w:w="577" w:type="dxa"/>
            <w:gridSpan w:val="2"/>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175</w:t>
            </w:r>
          </w:p>
        </w:tc>
        <w:tc>
          <w:tcPr>
            <w:tcW w:w="521"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4,7</w:t>
            </w:r>
          </w:p>
        </w:tc>
        <w:tc>
          <w:tcPr>
            <w:tcW w:w="559" w:type="dxa"/>
            <w:gridSpan w:val="2"/>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435</w:t>
            </w:r>
          </w:p>
        </w:tc>
        <w:tc>
          <w:tcPr>
            <w:tcW w:w="512"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4,6</w:t>
            </w:r>
          </w:p>
        </w:tc>
      </w:tr>
      <w:tr>
        <w:trPr>
          <w:trHeight w:val="300" w:hRule="atLeast"/>
          <w:cantSplit w:val="false"/>
        </w:trPr>
        <w:tc>
          <w:tcPr>
            <w:tcW w:w="1668" w:type="dxa"/>
            <w:tcBorders>
              <w:top w:val="nil"/>
              <w:left w:val="nil"/>
              <w:bottom w:val="nil"/>
              <w:insideH w:val="nil"/>
              <w:right w:val="nil"/>
              <w:insideV w:val="nil"/>
            </w:tcBorders>
            <w:shd w:fill="FFFFFF" w:val="clear"/>
            <w:vAlign w:val="bottom"/>
          </w:tcPr>
          <w:p>
            <w:pPr>
              <w:pStyle w:val="Normal"/>
              <w:rPr>
                <w:rFonts w:cs="Arial" w:ascii="Arial" w:hAnsi="Arial"/>
                <w:b/>
                <w:bCs/>
                <w:sz w:val="20"/>
                <w:szCs w:val="20"/>
              </w:rPr>
            </w:pPr>
            <w:r>
              <w:rPr>
                <w:rFonts w:cs="Arial" w:ascii="Arial" w:hAnsi="Arial"/>
                <w:b/>
                <w:bCs/>
                <w:sz w:val="20"/>
                <w:szCs w:val="20"/>
              </w:rPr>
              <w:t> </w:t>
            </w:r>
          </w:p>
        </w:tc>
        <w:tc>
          <w:tcPr>
            <w:tcW w:w="1362" w:type="dxa"/>
            <w:tcBorders>
              <w:top w:val="nil"/>
              <w:left w:val="nil"/>
              <w:bottom w:val="nil"/>
              <w:insideH w:val="nil"/>
              <w:right w:val="nil"/>
              <w:insideV w:val="nil"/>
            </w:tcBorders>
            <w:shd w:fill="FFFFFF" w:val="clear"/>
            <w:vAlign w:val="bottom"/>
          </w:tcPr>
          <w:p>
            <w:pPr>
              <w:pStyle w:val="Normal"/>
              <w:rPr>
                <w:rFonts w:cs="Arial" w:ascii="Arial" w:hAnsi="Arial"/>
                <w:b/>
                <w:bCs/>
                <w:sz w:val="20"/>
                <w:szCs w:val="20"/>
              </w:rPr>
            </w:pPr>
            <w:r>
              <w:rPr>
                <w:rFonts w:cs="Arial" w:ascii="Arial" w:hAnsi="Arial"/>
                <w:b/>
                <w:bCs/>
                <w:sz w:val="20"/>
                <w:szCs w:val="20"/>
              </w:rPr>
              <w:t> </w:t>
            </w:r>
          </w:p>
        </w:tc>
        <w:tc>
          <w:tcPr>
            <w:tcW w:w="587"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 </w:t>
            </w:r>
          </w:p>
        </w:tc>
        <w:tc>
          <w:tcPr>
            <w:tcW w:w="521"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 </w:t>
            </w:r>
          </w:p>
        </w:tc>
        <w:tc>
          <w:tcPr>
            <w:tcW w:w="577"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 </w:t>
            </w:r>
          </w:p>
        </w:tc>
        <w:tc>
          <w:tcPr>
            <w:tcW w:w="521"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 </w:t>
            </w:r>
          </w:p>
        </w:tc>
        <w:tc>
          <w:tcPr>
            <w:tcW w:w="577" w:type="dxa"/>
            <w:gridSpan w:val="2"/>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 </w:t>
            </w:r>
          </w:p>
        </w:tc>
        <w:tc>
          <w:tcPr>
            <w:tcW w:w="521"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 </w:t>
            </w:r>
          </w:p>
        </w:tc>
        <w:tc>
          <w:tcPr>
            <w:tcW w:w="577" w:type="dxa"/>
            <w:gridSpan w:val="2"/>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 </w:t>
            </w:r>
          </w:p>
        </w:tc>
        <w:tc>
          <w:tcPr>
            <w:tcW w:w="521"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 </w:t>
            </w:r>
          </w:p>
        </w:tc>
        <w:tc>
          <w:tcPr>
            <w:tcW w:w="559" w:type="dxa"/>
            <w:gridSpan w:val="2"/>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 </w:t>
            </w:r>
          </w:p>
        </w:tc>
        <w:tc>
          <w:tcPr>
            <w:tcW w:w="512"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r>
          </w:p>
        </w:tc>
      </w:tr>
      <w:tr>
        <w:trPr>
          <w:trHeight w:val="300" w:hRule="atLeast"/>
          <w:cantSplit w:val="false"/>
        </w:trPr>
        <w:tc>
          <w:tcPr>
            <w:tcW w:w="1668" w:type="dxa"/>
            <w:tcBorders>
              <w:top w:val="nil"/>
              <w:left w:val="nil"/>
              <w:bottom w:val="nil"/>
              <w:insideH w:val="nil"/>
              <w:right w:val="nil"/>
              <w:insideV w:val="nil"/>
            </w:tcBorders>
            <w:shd w:fill="FFFFFF" w:val="clear"/>
            <w:vAlign w:val="bottom"/>
          </w:tcPr>
          <w:p>
            <w:pPr>
              <w:pStyle w:val="Normal"/>
              <w:rPr>
                <w:rFonts w:cs="Arial" w:ascii="Arial" w:hAnsi="Arial"/>
                <w:b/>
                <w:bCs/>
                <w:sz w:val="20"/>
                <w:szCs w:val="20"/>
              </w:rPr>
            </w:pPr>
            <w:r>
              <w:rPr>
                <w:rFonts w:cs="Arial" w:ascii="Arial" w:hAnsi="Arial"/>
                <w:b/>
                <w:bCs/>
                <w:sz w:val="20"/>
                <w:szCs w:val="20"/>
              </w:rPr>
              <w:t>Gender</w:t>
            </w:r>
          </w:p>
        </w:tc>
        <w:tc>
          <w:tcPr>
            <w:tcW w:w="1362" w:type="dxa"/>
            <w:tcBorders>
              <w:top w:val="nil"/>
              <w:left w:val="nil"/>
              <w:bottom w:val="nil"/>
              <w:insideH w:val="nil"/>
              <w:right w:val="nil"/>
              <w:insideV w:val="nil"/>
            </w:tcBorders>
            <w:shd w:fill="FFFFFF" w:val="clear"/>
            <w:vAlign w:val="bottom"/>
          </w:tcPr>
          <w:p>
            <w:pPr>
              <w:pStyle w:val="Normal"/>
              <w:rPr>
                <w:rFonts w:cs="Arial" w:ascii="Arial" w:hAnsi="Arial"/>
                <w:b/>
                <w:bCs/>
                <w:sz w:val="20"/>
                <w:szCs w:val="20"/>
              </w:rPr>
            </w:pPr>
            <w:r>
              <w:rPr>
                <w:rFonts w:cs="Arial" w:ascii="Arial" w:hAnsi="Arial"/>
                <w:b/>
                <w:bCs/>
                <w:sz w:val="20"/>
                <w:szCs w:val="20"/>
              </w:rPr>
              <w:t>Men</w:t>
            </w:r>
          </w:p>
        </w:tc>
        <w:tc>
          <w:tcPr>
            <w:tcW w:w="587"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737</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58,8</w:t>
            </w:r>
          </w:p>
        </w:tc>
        <w:tc>
          <w:tcPr>
            <w:tcW w:w="577"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1139</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58,1</w:t>
            </w:r>
          </w:p>
        </w:tc>
        <w:tc>
          <w:tcPr>
            <w:tcW w:w="577"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1444</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55,8</w:t>
            </w:r>
          </w:p>
        </w:tc>
        <w:tc>
          <w:tcPr>
            <w:tcW w:w="577"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2068</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54,8</w:t>
            </w:r>
          </w:p>
        </w:tc>
        <w:tc>
          <w:tcPr>
            <w:tcW w:w="559" w:type="dxa"/>
            <w:gridSpan w:val="2"/>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5388</w:t>
            </w:r>
          </w:p>
        </w:tc>
        <w:tc>
          <w:tcPr>
            <w:tcW w:w="512"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56,3</w:t>
            </w:r>
          </w:p>
        </w:tc>
      </w:tr>
      <w:tr>
        <w:trPr>
          <w:trHeight w:val="300" w:hRule="atLeast"/>
          <w:cantSplit w:val="false"/>
        </w:trPr>
        <w:tc>
          <w:tcPr>
            <w:tcW w:w="1668" w:type="dxa"/>
            <w:tcBorders>
              <w:top w:val="nil"/>
              <w:left w:val="nil"/>
              <w:bottom w:val="nil"/>
              <w:insideH w:val="nil"/>
              <w:right w:val="nil"/>
              <w:insideV w:val="nil"/>
            </w:tcBorders>
            <w:shd w:fill="FFFFFF" w:val="clear"/>
            <w:vAlign w:val="bottom"/>
          </w:tcPr>
          <w:p>
            <w:pPr>
              <w:pStyle w:val="Normal"/>
              <w:rPr>
                <w:rFonts w:cs="Arial" w:ascii="Arial" w:hAnsi="Arial"/>
                <w:b/>
                <w:bCs/>
                <w:sz w:val="20"/>
                <w:szCs w:val="20"/>
              </w:rPr>
            </w:pPr>
            <w:r>
              <w:rPr>
                <w:rFonts w:cs="Arial" w:ascii="Arial" w:hAnsi="Arial"/>
                <w:b/>
                <w:bCs/>
                <w:sz w:val="20"/>
                <w:szCs w:val="20"/>
              </w:rPr>
              <w:t> </w:t>
            </w:r>
          </w:p>
        </w:tc>
        <w:tc>
          <w:tcPr>
            <w:tcW w:w="1362" w:type="dxa"/>
            <w:tcBorders>
              <w:top w:val="nil"/>
              <w:left w:val="nil"/>
              <w:bottom w:val="nil"/>
              <w:insideH w:val="nil"/>
              <w:right w:val="nil"/>
              <w:insideV w:val="nil"/>
            </w:tcBorders>
            <w:shd w:fill="FFFFFF" w:val="clear"/>
            <w:vAlign w:val="bottom"/>
          </w:tcPr>
          <w:p>
            <w:pPr>
              <w:pStyle w:val="Normal"/>
              <w:rPr>
                <w:rFonts w:cs="Arial" w:ascii="Arial" w:hAnsi="Arial"/>
                <w:b/>
                <w:bCs/>
                <w:sz w:val="20"/>
                <w:szCs w:val="20"/>
              </w:rPr>
            </w:pPr>
            <w:r>
              <w:rPr>
                <w:rFonts w:cs="Arial" w:ascii="Arial" w:hAnsi="Arial"/>
                <w:b/>
                <w:bCs/>
                <w:sz w:val="20"/>
                <w:szCs w:val="20"/>
              </w:rPr>
              <w:t>Women</w:t>
            </w:r>
          </w:p>
        </w:tc>
        <w:tc>
          <w:tcPr>
            <w:tcW w:w="587"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517</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41,2</w:t>
            </w:r>
          </w:p>
        </w:tc>
        <w:tc>
          <w:tcPr>
            <w:tcW w:w="577"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822</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41,9</w:t>
            </w:r>
          </w:p>
        </w:tc>
        <w:tc>
          <w:tcPr>
            <w:tcW w:w="577"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1142</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44,2</w:t>
            </w:r>
          </w:p>
        </w:tc>
        <w:tc>
          <w:tcPr>
            <w:tcW w:w="577"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1707</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45,2</w:t>
            </w:r>
          </w:p>
        </w:tc>
        <w:tc>
          <w:tcPr>
            <w:tcW w:w="559" w:type="dxa"/>
            <w:gridSpan w:val="2"/>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4188</w:t>
            </w:r>
          </w:p>
        </w:tc>
        <w:tc>
          <w:tcPr>
            <w:tcW w:w="512"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43,7</w:t>
            </w:r>
          </w:p>
        </w:tc>
      </w:tr>
      <w:tr>
        <w:trPr>
          <w:trHeight w:val="300" w:hRule="atLeast"/>
          <w:cantSplit w:val="false"/>
        </w:trPr>
        <w:tc>
          <w:tcPr>
            <w:tcW w:w="1668" w:type="dxa"/>
            <w:tcBorders>
              <w:top w:val="nil"/>
              <w:left w:val="nil"/>
              <w:bottom w:val="nil"/>
              <w:insideH w:val="nil"/>
              <w:right w:val="nil"/>
              <w:insideV w:val="nil"/>
            </w:tcBorders>
            <w:shd w:fill="FFFFFF" w:val="clear"/>
            <w:vAlign w:val="bottom"/>
          </w:tcPr>
          <w:p>
            <w:pPr>
              <w:pStyle w:val="Normal"/>
              <w:rPr>
                <w:rFonts w:cs="Arial" w:ascii="Arial" w:hAnsi="Arial"/>
                <w:b/>
                <w:bCs/>
                <w:sz w:val="20"/>
                <w:szCs w:val="20"/>
              </w:rPr>
            </w:pPr>
            <w:r>
              <w:rPr>
                <w:rFonts w:cs="Arial" w:ascii="Arial" w:hAnsi="Arial"/>
                <w:b/>
                <w:bCs/>
                <w:sz w:val="20"/>
                <w:szCs w:val="20"/>
              </w:rPr>
              <w:t> </w:t>
            </w:r>
          </w:p>
        </w:tc>
        <w:tc>
          <w:tcPr>
            <w:tcW w:w="1362" w:type="dxa"/>
            <w:tcBorders>
              <w:top w:val="nil"/>
              <w:left w:val="nil"/>
              <w:bottom w:val="nil"/>
              <w:insideH w:val="nil"/>
              <w:right w:val="nil"/>
              <w:insideV w:val="nil"/>
            </w:tcBorders>
            <w:shd w:fill="FFFFFF" w:val="clear"/>
            <w:vAlign w:val="bottom"/>
          </w:tcPr>
          <w:p>
            <w:pPr>
              <w:pStyle w:val="Normal"/>
              <w:rPr>
                <w:rFonts w:cs="Arial" w:ascii="Arial" w:hAnsi="Arial"/>
                <w:b/>
                <w:bCs/>
                <w:sz w:val="20"/>
                <w:szCs w:val="20"/>
              </w:rPr>
            </w:pPr>
            <w:r>
              <w:rPr>
                <w:rFonts w:cs="Arial" w:ascii="Arial" w:hAnsi="Arial"/>
                <w:b/>
                <w:bCs/>
                <w:sz w:val="20"/>
                <w:szCs w:val="20"/>
              </w:rPr>
              <w:t> </w:t>
            </w:r>
          </w:p>
        </w:tc>
        <w:tc>
          <w:tcPr>
            <w:tcW w:w="587"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 </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 </w:t>
            </w:r>
          </w:p>
        </w:tc>
        <w:tc>
          <w:tcPr>
            <w:tcW w:w="577"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 </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 </w:t>
            </w:r>
          </w:p>
        </w:tc>
        <w:tc>
          <w:tcPr>
            <w:tcW w:w="577"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 </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 </w:t>
            </w:r>
          </w:p>
        </w:tc>
        <w:tc>
          <w:tcPr>
            <w:tcW w:w="577"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 </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 </w:t>
            </w:r>
          </w:p>
        </w:tc>
        <w:tc>
          <w:tcPr>
            <w:tcW w:w="559" w:type="dxa"/>
            <w:gridSpan w:val="2"/>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 </w:t>
            </w:r>
          </w:p>
        </w:tc>
        <w:tc>
          <w:tcPr>
            <w:tcW w:w="512"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r>
          </w:p>
        </w:tc>
      </w:tr>
      <w:tr>
        <w:trPr>
          <w:trHeight w:val="300" w:hRule="atLeast"/>
          <w:cantSplit w:val="false"/>
        </w:trPr>
        <w:tc>
          <w:tcPr>
            <w:tcW w:w="1668" w:type="dxa"/>
            <w:tcBorders>
              <w:top w:val="nil"/>
              <w:left w:val="nil"/>
              <w:bottom w:val="nil"/>
              <w:insideH w:val="nil"/>
              <w:right w:val="nil"/>
              <w:insideV w:val="nil"/>
            </w:tcBorders>
            <w:shd w:fill="FFFFFF" w:val="clear"/>
            <w:vAlign w:val="bottom"/>
          </w:tcPr>
          <w:p>
            <w:pPr>
              <w:pStyle w:val="Normal"/>
              <w:rPr>
                <w:rFonts w:cs="Arial" w:ascii="Arial" w:hAnsi="Arial"/>
                <w:b/>
                <w:bCs/>
                <w:sz w:val="20"/>
                <w:szCs w:val="20"/>
              </w:rPr>
            </w:pPr>
            <w:r>
              <w:rPr>
                <w:rFonts w:cs="Arial" w:ascii="Arial" w:hAnsi="Arial"/>
                <w:b/>
                <w:bCs/>
                <w:sz w:val="20"/>
                <w:szCs w:val="20"/>
              </w:rPr>
              <w:t>Type of TB</w:t>
            </w:r>
          </w:p>
        </w:tc>
        <w:tc>
          <w:tcPr>
            <w:tcW w:w="1362" w:type="dxa"/>
            <w:tcBorders>
              <w:top w:val="nil"/>
              <w:left w:val="nil"/>
              <w:bottom w:val="nil"/>
              <w:insideH w:val="nil"/>
              <w:right w:val="nil"/>
              <w:insideV w:val="nil"/>
            </w:tcBorders>
            <w:shd w:fill="FFFFFF" w:val="clear"/>
            <w:vAlign w:val="bottom"/>
          </w:tcPr>
          <w:p>
            <w:pPr>
              <w:pStyle w:val="Normal"/>
              <w:rPr>
                <w:rFonts w:cs="Arial" w:ascii="Arial" w:hAnsi="Arial"/>
                <w:b/>
                <w:bCs/>
                <w:sz w:val="20"/>
                <w:szCs w:val="20"/>
              </w:rPr>
            </w:pPr>
            <w:r>
              <w:rPr>
                <w:rFonts w:cs="Arial" w:ascii="Arial" w:hAnsi="Arial"/>
                <w:b/>
                <w:bCs/>
                <w:sz w:val="20"/>
                <w:szCs w:val="20"/>
              </w:rPr>
              <w:t>Pulmonary</w:t>
            </w:r>
          </w:p>
        </w:tc>
        <w:tc>
          <w:tcPr>
            <w:tcW w:w="587"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1068</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85,4</w:t>
            </w:r>
          </w:p>
        </w:tc>
        <w:tc>
          <w:tcPr>
            <w:tcW w:w="577"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1684</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86,1</w:t>
            </w:r>
          </w:p>
        </w:tc>
        <w:tc>
          <w:tcPr>
            <w:tcW w:w="577"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2158</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83,5</w:t>
            </w:r>
          </w:p>
        </w:tc>
        <w:tc>
          <w:tcPr>
            <w:tcW w:w="577"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3104</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82,4</w:t>
            </w:r>
          </w:p>
        </w:tc>
        <w:tc>
          <w:tcPr>
            <w:tcW w:w="559" w:type="dxa"/>
            <w:gridSpan w:val="2"/>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8014</w:t>
            </w:r>
          </w:p>
        </w:tc>
        <w:tc>
          <w:tcPr>
            <w:tcW w:w="512"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83,8</w:t>
            </w:r>
          </w:p>
        </w:tc>
      </w:tr>
      <w:tr>
        <w:trPr>
          <w:trHeight w:val="300" w:hRule="atLeast"/>
          <w:cantSplit w:val="false"/>
        </w:trPr>
        <w:tc>
          <w:tcPr>
            <w:tcW w:w="1668" w:type="dxa"/>
            <w:tcBorders>
              <w:top w:val="nil"/>
              <w:left w:val="nil"/>
              <w:bottom w:val="nil"/>
              <w:insideH w:val="nil"/>
              <w:right w:val="nil"/>
              <w:insideV w:val="nil"/>
            </w:tcBorders>
            <w:shd w:fill="FFFFFF" w:val="clear"/>
            <w:vAlign w:val="bottom"/>
          </w:tcPr>
          <w:p>
            <w:pPr>
              <w:pStyle w:val="Normal"/>
              <w:rPr>
                <w:rFonts w:cs="Arial" w:ascii="Arial" w:hAnsi="Arial"/>
                <w:b/>
                <w:bCs/>
                <w:sz w:val="20"/>
                <w:szCs w:val="20"/>
              </w:rPr>
            </w:pPr>
            <w:r>
              <w:rPr>
                <w:rFonts w:cs="Arial" w:ascii="Arial" w:hAnsi="Arial"/>
                <w:b/>
                <w:bCs/>
                <w:sz w:val="20"/>
                <w:szCs w:val="20"/>
              </w:rPr>
              <w:t> </w:t>
            </w:r>
          </w:p>
        </w:tc>
        <w:tc>
          <w:tcPr>
            <w:tcW w:w="1362" w:type="dxa"/>
            <w:tcBorders>
              <w:top w:val="nil"/>
              <w:left w:val="nil"/>
              <w:bottom w:val="nil"/>
              <w:insideH w:val="nil"/>
              <w:right w:val="nil"/>
              <w:insideV w:val="nil"/>
            </w:tcBorders>
            <w:shd w:fill="FFFFFF" w:val="clear"/>
            <w:vAlign w:val="bottom"/>
          </w:tcPr>
          <w:p>
            <w:pPr>
              <w:pStyle w:val="Normal"/>
              <w:rPr>
                <w:rFonts w:cs="Arial" w:ascii="Arial" w:hAnsi="Arial"/>
                <w:b/>
                <w:bCs/>
                <w:sz w:val="20"/>
                <w:szCs w:val="20"/>
              </w:rPr>
            </w:pPr>
            <w:r>
              <w:rPr>
                <w:rFonts w:cs="Arial" w:ascii="Arial" w:hAnsi="Arial"/>
                <w:b/>
                <w:bCs/>
                <w:sz w:val="20"/>
                <w:szCs w:val="20"/>
              </w:rPr>
              <w:t>EPTB</w:t>
            </w:r>
          </w:p>
        </w:tc>
        <w:tc>
          <w:tcPr>
            <w:tcW w:w="587"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183</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14,6</w:t>
            </w:r>
          </w:p>
        </w:tc>
        <w:tc>
          <w:tcPr>
            <w:tcW w:w="577"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273</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13,9</w:t>
            </w:r>
          </w:p>
        </w:tc>
        <w:tc>
          <w:tcPr>
            <w:tcW w:w="577"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427</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16,5</w:t>
            </w:r>
          </w:p>
        </w:tc>
        <w:tc>
          <w:tcPr>
            <w:tcW w:w="577"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665</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17,6</w:t>
            </w:r>
          </w:p>
        </w:tc>
        <w:tc>
          <w:tcPr>
            <w:tcW w:w="559" w:type="dxa"/>
            <w:gridSpan w:val="2"/>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1548</w:t>
            </w:r>
          </w:p>
        </w:tc>
        <w:tc>
          <w:tcPr>
            <w:tcW w:w="512"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16,2</w:t>
            </w:r>
          </w:p>
        </w:tc>
      </w:tr>
      <w:tr>
        <w:trPr>
          <w:trHeight w:val="300" w:hRule="atLeast"/>
          <w:cantSplit w:val="false"/>
        </w:trPr>
        <w:tc>
          <w:tcPr>
            <w:tcW w:w="1668" w:type="dxa"/>
            <w:tcBorders>
              <w:top w:val="nil"/>
              <w:left w:val="nil"/>
              <w:bottom w:val="nil"/>
              <w:insideH w:val="nil"/>
              <w:right w:val="nil"/>
              <w:insideV w:val="nil"/>
            </w:tcBorders>
            <w:shd w:fill="FFFFFF" w:val="clear"/>
            <w:vAlign w:val="bottom"/>
          </w:tcPr>
          <w:p>
            <w:pPr>
              <w:pStyle w:val="Normal"/>
              <w:rPr>
                <w:rFonts w:cs="Arial" w:ascii="Arial" w:hAnsi="Arial"/>
                <w:b/>
                <w:bCs/>
                <w:sz w:val="20"/>
                <w:szCs w:val="20"/>
              </w:rPr>
            </w:pPr>
            <w:r>
              <w:rPr>
                <w:rFonts w:cs="Arial" w:ascii="Arial" w:hAnsi="Arial"/>
                <w:b/>
                <w:bCs/>
                <w:sz w:val="20"/>
                <w:szCs w:val="20"/>
              </w:rPr>
              <w:t> </w:t>
            </w:r>
          </w:p>
        </w:tc>
        <w:tc>
          <w:tcPr>
            <w:tcW w:w="1362" w:type="dxa"/>
            <w:tcBorders>
              <w:top w:val="nil"/>
              <w:left w:val="nil"/>
              <w:bottom w:val="nil"/>
              <w:insideH w:val="nil"/>
              <w:right w:val="nil"/>
              <w:insideV w:val="nil"/>
            </w:tcBorders>
            <w:shd w:fill="FFFFFF" w:val="clear"/>
            <w:vAlign w:val="bottom"/>
          </w:tcPr>
          <w:p>
            <w:pPr>
              <w:pStyle w:val="Normal"/>
              <w:rPr>
                <w:rFonts w:cs="Arial" w:ascii="Arial" w:hAnsi="Arial"/>
                <w:b/>
                <w:bCs/>
                <w:sz w:val="20"/>
                <w:szCs w:val="20"/>
              </w:rPr>
            </w:pPr>
            <w:r>
              <w:rPr>
                <w:rFonts w:cs="Arial" w:ascii="Arial" w:hAnsi="Arial"/>
                <w:b/>
                <w:bCs/>
                <w:sz w:val="20"/>
                <w:szCs w:val="20"/>
              </w:rPr>
              <w:t> </w:t>
            </w:r>
          </w:p>
        </w:tc>
        <w:tc>
          <w:tcPr>
            <w:tcW w:w="587"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 </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 </w:t>
            </w:r>
          </w:p>
        </w:tc>
        <w:tc>
          <w:tcPr>
            <w:tcW w:w="577"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 </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 </w:t>
            </w:r>
          </w:p>
        </w:tc>
        <w:tc>
          <w:tcPr>
            <w:tcW w:w="577"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 </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 </w:t>
            </w:r>
          </w:p>
        </w:tc>
        <w:tc>
          <w:tcPr>
            <w:tcW w:w="577"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 </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 </w:t>
            </w:r>
          </w:p>
        </w:tc>
        <w:tc>
          <w:tcPr>
            <w:tcW w:w="559" w:type="dxa"/>
            <w:gridSpan w:val="2"/>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 </w:t>
            </w:r>
          </w:p>
        </w:tc>
        <w:tc>
          <w:tcPr>
            <w:tcW w:w="512"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r>
          </w:p>
        </w:tc>
      </w:tr>
      <w:tr>
        <w:trPr>
          <w:trHeight w:val="300" w:hRule="atLeast"/>
          <w:cantSplit w:val="false"/>
        </w:trPr>
        <w:tc>
          <w:tcPr>
            <w:tcW w:w="1668" w:type="dxa"/>
            <w:tcBorders>
              <w:top w:val="nil"/>
              <w:left w:val="nil"/>
              <w:bottom w:val="nil"/>
              <w:insideH w:val="nil"/>
              <w:right w:val="nil"/>
              <w:insideV w:val="nil"/>
            </w:tcBorders>
            <w:shd w:fill="FFFFFF" w:val="clear"/>
            <w:vAlign w:val="bottom"/>
          </w:tcPr>
          <w:p>
            <w:pPr>
              <w:pStyle w:val="Normal"/>
              <w:rPr>
                <w:rFonts w:cs="Arial" w:ascii="Arial" w:hAnsi="Arial"/>
                <w:b/>
                <w:bCs/>
                <w:sz w:val="20"/>
                <w:szCs w:val="20"/>
              </w:rPr>
            </w:pPr>
            <w:r>
              <w:rPr>
                <w:rFonts w:cs="Arial" w:ascii="Arial" w:hAnsi="Arial"/>
                <w:b/>
                <w:bCs/>
                <w:sz w:val="20"/>
                <w:szCs w:val="20"/>
              </w:rPr>
              <w:t>Smear</w:t>
            </w:r>
          </w:p>
        </w:tc>
        <w:tc>
          <w:tcPr>
            <w:tcW w:w="1362" w:type="dxa"/>
            <w:tcBorders>
              <w:top w:val="nil"/>
              <w:left w:val="nil"/>
              <w:bottom w:val="nil"/>
              <w:insideH w:val="nil"/>
              <w:right w:val="nil"/>
              <w:insideV w:val="nil"/>
            </w:tcBorders>
            <w:shd w:fill="FFFFFF" w:val="clear"/>
            <w:vAlign w:val="bottom"/>
          </w:tcPr>
          <w:p>
            <w:pPr>
              <w:pStyle w:val="Normal"/>
              <w:rPr>
                <w:rFonts w:cs="Arial" w:ascii="Arial" w:hAnsi="Arial"/>
                <w:b/>
                <w:bCs/>
                <w:sz w:val="20"/>
                <w:szCs w:val="20"/>
              </w:rPr>
            </w:pPr>
            <w:r>
              <w:rPr>
                <w:rFonts w:cs="Arial" w:ascii="Arial" w:hAnsi="Arial"/>
                <w:b/>
                <w:bCs/>
                <w:sz w:val="20"/>
                <w:szCs w:val="20"/>
              </w:rPr>
              <w:t>Positive</w:t>
            </w:r>
          </w:p>
        </w:tc>
        <w:tc>
          <w:tcPr>
            <w:tcW w:w="587"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726</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82,5</w:t>
            </w:r>
          </w:p>
        </w:tc>
        <w:tc>
          <w:tcPr>
            <w:tcW w:w="577"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1321</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86,5</w:t>
            </w:r>
          </w:p>
        </w:tc>
        <w:tc>
          <w:tcPr>
            <w:tcW w:w="577"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1462</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72,7</w:t>
            </w:r>
          </w:p>
        </w:tc>
        <w:tc>
          <w:tcPr>
            <w:tcW w:w="577"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1548</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56,9</w:t>
            </w:r>
          </w:p>
        </w:tc>
        <w:tc>
          <w:tcPr>
            <w:tcW w:w="559" w:type="dxa"/>
            <w:gridSpan w:val="2"/>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5057</w:t>
            </w:r>
          </w:p>
        </w:tc>
        <w:tc>
          <w:tcPr>
            <w:tcW w:w="512"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70,8</w:t>
            </w:r>
          </w:p>
        </w:tc>
      </w:tr>
      <w:tr>
        <w:trPr>
          <w:trHeight w:val="300" w:hRule="atLeast"/>
          <w:cantSplit w:val="false"/>
        </w:trPr>
        <w:tc>
          <w:tcPr>
            <w:tcW w:w="1668" w:type="dxa"/>
            <w:tcBorders>
              <w:top w:val="nil"/>
              <w:left w:val="nil"/>
              <w:bottom w:val="nil"/>
              <w:insideH w:val="nil"/>
              <w:right w:val="nil"/>
              <w:insideV w:val="nil"/>
            </w:tcBorders>
            <w:shd w:fill="FFFFFF" w:val="clear"/>
            <w:vAlign w:val="bottom"/>
          </w:tcPr>
          <w:p>
            <w:pPr>
              <w:pStyle w:val="Normal"/>
              <w:rPr>
                <w:rFonts w:cs="Arial" w:ascii="Arial" w:hAnsi="Arial"/>
                <w:b/>
                <w:bCs/>
                <w:sz w:val="20"/>
                <w:szCs w:val="20"/>
              </w:rPr>
            </w:pPr>
            <w:r>
              <w:rPr>
                <w:rFonts w:cs="Arial" w:ascii="Arial" w:hAnsi="Arial"/>
                <w:b/>
                <w:bCs/>
                <w:sz w:val="20"/>
                <w:szCs w:val="20"/>
              </w:rPr>
              <w:t> </w:t>
            </w:r>
          </w:p>
        </w:tc>
        <w:tc>
          <w:tcPr>
            <w:tcW w:w="1362" w:type="dxa"/>
            <w:tcBorders>
              <w:top w:val="nil"/>
              <w:left w:val="nil"/>
              <w:bottom w:val="nil"/>
              <w:insideH w:val="nil"/>
              <w:right w:val="nil"/>
              <w:insideV w:val="nil"/>
            </w:tcBorders>
            <w:shd w:fill="FFFFFF" w:val="clear"/>
            <w:vAlign w:val="bottom"/>
          </w:tcPr>
          <w:p>
            <w:pPr>
              <w:pStyle w:val="Normal"/>
              <w:rPr>
                <w:rFonts w:cs="Arial" w:ascii="Arial" w:hAnsi="Arial"/>
                <w:b/>
                <w:bCs/>
                <w:sz w:val="20"/>
                <w:szCs w:val="20"/>
              </w:rPr>
            </w:pPr>
            <w:r>
              <w:rPr>
                <w:rFonts w:cs="Arial" w:ascii="Arial" w:hAnsi="Arial"/>
                <w:b/>
                <w:bCs/>
                <w:sz w:val="20"/>
                <w:szCs w:val="20"/>
              </w:rPr>
              <w:t>Negative</w:t>
            </w:r>
          </w:p>
        </w:tc>
        <w:tc>
          <w:tcPr>
            <w:tcW w:w="587"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154</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17,5</w:t>
            </w:r>
          </w:p>
        </w:tc>
        <w:tc>
          <w:tcPr>
            <w:tcW w:w="577"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206</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13,5</w:t>
            </w:r>
          </w:p>
        </w:tc>
        <w:tc>
          <w:tcPr>
            <w:tcW w:w="577"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549</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27,3</w:t>
            </w:r>
          </w:p>
        </w:tc>
        <w:tc>
          <w:tcPr>
            <w:tcW w:w="577"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1173</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43,1</w:t>
            </w:r>
          </w:p>
        </w:tc>
        <w:tc>
          <w:tcPr>
            <w:tcW w:w="559" w:type="dxa"/>
            <w:gridSpan w:val="2"/>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2082</w:t>
            </w:r>
          </w:p>
        </w:tc>
        <w:tc>
          <w:tcPr>
            <w:tcW w:w="512"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29,2</w:t>
            </w:r>
          </w:p>
        </w:tc>
      </w:tr>
      <w:tr>
        <w:trPr>
          <w:trHeight w:val="300" w:hRule="atLeast"/>
          <w:cantSplit w:val="false"/>
        </w:trPr>
        <w:tc>
          <w:tcPr>
            <w:tcW w:w="1668" w:type="dxa"/>
            <w:tcBorders>
              <w:top w:val="nil"/>
              <w:left w:val="nil"/>
              <w:bottom w:val="nil"/>
              <w:insideH w:val="nil"/>
              <w:right w:val="nil"/>
              <w:insideV w:val="nil"/>
            </w:tcBorders>
            <w:shd w:fill="FFFFFF" w:val="clear"/>
            <w:vAlign w:val="bottom"/>
          </w:tcPr>
          <w:p>
            <w:pPr>
              <w:pStyle w:val="Normal"/>
              <w:rPr>
                <w:rFonts w:cs="Arial" w:ascii="Arial" w:hAnsi="Arial"/>
                <w:b/>
                <w:bCs/>
                <w:sz w:val="20"/>
                <w:szCs w:val="20"/>
              </w:rPr>
            </w:pPr>
            <w:r>
              <w:rPr>
                <w:rFonts w:cs="Arial" w:ascii="Arial" w:hAnsi="Arial"/>
                <w:b/>
                <w:bCs/>
                <w:sz w:val="20"/>
                <w:szCs w:val="20"/>
              </w:rPr>
              <w:t> </w:t>
            </w:r>
          </w:p>
        </w:tc>
        <w:tc>
          <w:tcPr>
            <w:tcW w:w="1362" w:type="dxa"/>
            <w:tcBorders>
              <w:top w:val="nil"/>
              <w:left w:val="nil"/>
              <w:bottom w:val="nil"/>
              <w:insideH w:val="nil"/>
              <w:right w:val="nil"/>
              <w:insideV w:val="nil"/>
            </w:tcBorders>
            <w:shd w:fill="FFFFFF" w:val="clear"/>
            <w:vAlign w:val="bottom"/>
          </w:tcPr>
          <w:p>
            <w:pPr>
              <w:pStyle w:val="Normal"/>
              <w:rPr>
                <w:rFonts w:cs="Arial" w:ascii="Arial" w:hAnsi="Arial"/>
                <w:b/>
                <w:bCs/>
                <w:sz w:val="20"/>
                <w:szCs w:val="20"/>
              </w:rPr>
            </w:pPr>
            <w:r>
              <w:rPr>
                <w:rFonts w:cs="Arial" w:ascii="Arial" w:hAnsi="Arial"/>
                <w:b/>
                <w:bCs/>
                <w:sz w:val="20"/>
                <w:szCs w:val="20"/>
              </w:rPr>
              <w:t> </w:t>
            </w:r>
          </w:p>
        </w:tc>
        <w:tc>
          <w:tcPr>
            <w:tcW w:w="587"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 </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 </w:t>
            </w:r>
          </w:p>
        </w:tc>
        <w:tc>
          <w:tcPr>
            <w:tcW w:w="577"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 </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 </w:t>
            </w:r>
          </w:p>
        </w:tc>
        <w:tc>
          <w:tcPr>
            <w:tcW w:w="577"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 </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 </w:t>
            </w:r>
          </w:p>
        </w:tc>
        <w:tc>
          <w:tcPr>
            <w:tcW w:w="577"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 </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 </w:t>
            </w:r>
          </w:p>
        </w:tc>
        <w:tc>
          <w:tcPr>
            <w:tcW w:w="559" w:type="dxa"/>
            <w:gridSpan w:val="2"/>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 </w:t>
            </w:r>
          </w:p>
        </w:tc>
        <w:tc>
          <w:tcPr>
            <w:tcW w:w="512"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r>
          </w:p>
        </w:tc>
      </w:tr>
      <w:tr>
        <w:trPr>
          <w:trHeight w:val="300" w:hRule="atLeast"/>
          <w:cantSplit w:val="false"/>
        </w:trPr>
        <w:tc>
          <w:tcPr>
            <w:tcW w:w="1668" w:type="dxa"/>
            <w:tcBorders>
              <w:top w:val="nil"/>
              <w:left w:val="nil"/>
              <w:bottom w:val="nil"/>
              <w:insideH w:val="nil"/>
              <w:right w:val="nil"/>
              <w:insideV w:val="nil"/>
            </w:tcBorders>
            <w:shd w:fill="FFFFFF" w:val="clear"/>
            <w:vAlign w:val="bottom"/>
          </w:tcPr>
          <w:p>
            <w:pPr>
              <w:pStyle w:val="Normal"/>
              <w:rPr>
                <w:rFonts w:cs="Arial" w:ascii="Arial" w:hAnsi="Arial"/>
                <w:b/>
                <w:bCs/>
                <w:sz w:val="20"/>
                <w:szCs w:val="20"/>
              </w:rPr>
            </w:pPr>
            <w:r>
              <w:rPr>
                <w:rFonts w:cs="Arial" w:ascii="Arial" w:hAnsi="Arial"/>
                <w:b/>
                <w:bCs/>
                <w:sz w:val="20"/>
                <w:szCs w:val="20"/>
              </w:rPr>
              <w:t>Co-infection HIV</w:t>
            </w:r>
          </w:p>
        </w:tc>
        <w:tc>
          <w:tcPr>
            <w:tcW w:w="1362" w:type="dxa"/>
            <w:tcBorders>
              <w:top w:val="nil"/>
              <w:left w:val="nil"/>
              <w:bottom w:val="nil"/>
              <w:insideH w:val="nil"/>
              <w:right w:val="nil"/>
              <w:insideV w:val="nil"/>
            </w:tcBorders>
            <w:shd w:fill="FFFFFF" w:val="clear"/>
            <w:vAlign w:val="bottom"/>
          </w:tcPr>
          <w:p>
            <w:pPr>
              <w:pStyle w:val="Normal"/>
              <w:rPr>
                <w:rFonts w:cs="Arial" w:ascii="Arial" w:hAnsi="Arial"/>
                <w:b/>
                <w:bCs/>
                <w:sz w:val="20"/>
                <w:szCs w:val="20"/>
              </w:rPr>
            </w:pPr>
            <w:r>
              <w:rPr>
                <w:rFonts w:cs="Arial" w:ascii="Arial" w:hAnsi="Arial"/>
                <w:b/>
                <w:bCs/>
                <w:sz w:val="20"/>
                <w:szCs w:val="20"/>
              </w:rPr>
              <w:t>Positive</w:t>
            </w:r>
          </w:p>
        </w:tc>
        <w:tc>
          <w:tcPr>
            <w:tcW w:w="587"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w:t>
            </w:r>
          </w:p>
        </w:tc>
        <w:tc>
          <w:tcPr>
            <w:tcW w:w="577"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w:t>
            </w:r>
          </w:p>
        </w:tc>
        <w:tc>
          <w:tcPr>
            <w:tcW w:w="577"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855</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67,4</w:t>
            </w:r>
          </w:p>
        </w:tc>
        <w:tc>
          <w:tcPr>
            <w:tcW w:w="577"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2655</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71,5</w:t>
            </w:r>
          </w:p>
        </w:tc>
        <w:tc>
          <w:tcPr>
            <w:tcW w:w="559" w:type="dxa"/>
            <w:gridSpan w:val="2"/>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3510</w:t>
            </w:r>
          </w:p>
        </w:tc>
        <w:tc>
          <w:tcPr>
            <w:tcW w:w="512"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70,4</w:t>
            </w:r>
          </w:p>
        </w:tc>
      </w:tr>
      <w:tr>
        <w:trPr>
          <w:trHeight w:val="300" w:hRule="atLeast"/>
          <w:cantSplit w:val="false"/>
        </w:trPr>
        <w:tc>
          <w:tcPr>
            <w:tcW w:w="1668" w:type="dxa"/>
            <w:tcBorders>
              <w:top w:val="nil"/>
              <w:left w:val="nil"/>
              <w:bottom w:val="nil"/>
              <w:insideH w:val="nil"/>
              <w:right w:val="nil"/>
              <w:insideV w:val="nil"/>
            </w:tcBorders>
            <w:shd w:fill="FFFFFF" w:val="clear"/>
            <w:vAlign w:val="bottom"/>
          </w:tcPr>
          <w:p>
            <w:pPr>
              <w:pStyle w:val="Normal"/>
              <w:rPr>
                <w:rFonts w:cs="Arial" w:ascii="Arial" w:hAnsi="Arial"/>
                <w:b/>
                <w:bCs/>
                <w:sz w:val="20"/>
                <w:szCs w:val="20"/>
              </w:rPr>
            </w:pPr>
            <w:r>
              <w:rPr>
                <w:rFonts w:cs="Arial" w:ascii="Arial" w:hAnsi="Arial"/>
                <w:b/>
                <w:bCs/>
                <w:sz w:val="20"/>
                <w:szCs w:val="20"/>
              </w:rPr>
              <w:t> </w:t>
            </w:r>
          </w:p>
        </w:tc>
        <w:tc>
          <w:tcPr>
            <w:tcW w:w="1362" w:type="dxa"/>
            <w:tcBorders>
              <w:top w:val="nil"/>
              <w:left w:val="nil"/>
              <w:bottom w:val="nil"/>
              <w:insideH w:val="nil"/>
              <w:right w:val="nil"/>
              <w:insideV w:val="nil"/>
            </w:tcBorders>
            <w:shd w:fill="FFFFFF" w:val="clear"/>
            <w:vAlign w:val="bottom"/>
          </w:tcPr>
          <w:p>
            <w:pPr>
              <w:pStyle w:val="Normal"/>
              <w:rPr>
                <w:rFonts w:cs="Arial" w:ascii="Arial" w:hAnsi="Arial"/>
                <w:b/>
                <w:bCs/>
                <w:sz w:val="20"/>
                <w:szCs w:val="20"/>
              </w:rPr>
            </w:pPr>
            <w:r>
              <w:rPr>
                <w:rFonts w:cs="Arial" w:ascii="Arial" w:hAnsi="Arial"/>
                <w:b/>
                <w:bCs/>
                <w:sz w:val="20"/>
                <w:szCs w:val="20"/>
              </w:rPr>
              <w:t>Negative</w:t>
            </w:r>
          </w:p>
        </w:tc>
        <w:tc>
          <w:tcPr>
            <w:tcW w:w="587"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w:t>
            </w:r>
          </w:p>
        </w:tc>
        <w:tc>
          <w:tcPr>
            <w:tcW w:w="577"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w:t>
            </w:r>
          </w:p>
        </w:tc>
        <w:tc>
          <w:tcPr>
            <w:tcW w:w="577"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414</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32,6</w:t>
            </w:r>
          </w:p>
        </w:tc>
        <w:tc>
          <w:tcPr>
            <w:tcW w:w="577"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1059</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28,5</w:t>
            </w:r>
          </w:p>
        </w:tc>
        <w:tc>
          <w:tcPr>
            <w:tcW w:w="559" w:type="dxa"/>
            <w:gridSpan w:val="2"/>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1473</w:t>
            </w:r>
          </w:p>
        </w:tc>
        <w:tc>
          <w:tcPr>
            <w:tcW w:w="512"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29,6</w:t>
            </w:r>
          </w:p>
        </w:tc>
      </w:tr>
      <w:tr>
        <w:trPr>
          <w:trHeight w:val="300" w:hRule="atLeast"/>
          <w:cantSplit w:val="false"/>
        </w:trPr>
        <w:tc>
          <w:tcPr>
            <w:tcW w:w="1668" w:type="dxa"/>
            <w:tcBorders>
              <w:top w:val="nil"/>
              <w:left w:val="nil"/>
              <w:bottom w:val="nil"/>
              <w:insideH w:val="nil"/>
              <w:right w:val="nil"/>
              <w:insideV w:val="nil"/>
            </w:tcBorders>
            <w:shd w:fill="FFFFFF" w:val="clear"/>
            <w:vAlign w:val="bottom"/>
          </w:tcPr>
          <w:p>
            <w:pPr>
              <w:pStyle w:val="Normal"/>
              <w:rPr>
                <w:rFonts w:cs="Arial" w:ascii="Arial" w:hAnsi="Arial"/>
                <w:b/>
                <w:bCs/>
                <w:sz w:val="20"/>
                <w:szCs w:val="20"/>
              </w:rPr>
            </w:pPr>
            <w:r>
              <w:rPr>
                <w:rFonts w:cs="Arial" w:ascii="Arial" w:hAnsi="Arial"/>
                <w:b/>
                <w:bCs/>
                <w:sz w:val="20"/>
                <w:szCs w:val="20"/>
              </w:rPr>
              <w:t> </w:t>
            </w:r>
          </w:p>
        </w:tc>
        <w:tc>
          <w:tcPr>
            <w:tcW w:w="1362" w:type="dxa"/>
            <w:tcBorders>
              <w:top w:val="nil"/>
              <w:left w:val="nil"/>
              <w:bottom w:val="nil"/>
              <w:insideH w:val="nil"/>
              <w:right w:val="nil"/>
              <w:insideV w:val="nil"/>
            </w:tcBorders>
            <w:shd w:fill="FFFFFF" w:val="clear"/>
            <w:vAlign w:val="bottom"/>
          </w:tcPr>
          <w:p>
            <w:pPr>
              <w:pStyle w:val="Normal"/>
              <w:rPr>
                <w:rFonts w:cs="Arial" w:ascii="Arial" w:hAnsi="Arial"/>
                <w:b/>
                <w:bCs/>
                <w:sz w:val="20"/>
                <w:szCs w:val="20"/>
              </w:rPr>
            </w:pPr>
            <w:r>
              <w:rPr>
                <w:rFonts w:cs="Arial" w:ascii="Arial" w:hAnsi="Arial"/>
                <w:b/>
                <w:bCs/>
                <w:sz w:val="20"/>
                <w:szCs w:val="20"/>
              </w:rPr>
              <w:t> </w:t>
            </w:r>
          </w:p>
        </w:tc>
        <w:tc>
          <w:tcPr>
            <w:tcW w:w="587"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 </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 </w:t>
            </w:r>
          </w:p>
        </w:tc>
        <w:tc>
          <w:tcPr>
            <w:tcW w:w="577"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 </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 </w:t>
            </w:r>
          </w:p>
        </w:tc>
        <w:tc>
          <w:tcPr>
            <w:tcW w:w="577"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 </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 </w:t>
            </w:r>
          </w:p>
        </w:tc>
        <w:tc>
          <w:tcPr>
            <w:tcW w:w="577"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 </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 </w:t>
            </w:r>
          </w:p>
        </w:tc>
        <w:tc>
          <w:tcPr>
            <w:tcW w:w="559" w:type="dxa"/>
            <w:gridSpan w:val="2"/>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 </w:t>
            </w:r>
          </w:p>
        </w:tc>
        <w:tc>
          <w:tcPr>
            <w:tcW w:w="512"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r>
          </w:p>
        </w:tc>
      </w:tr>
      <w:tr>
        <w:trPr>
          <w:trHeight w:val="300" w:hRule="atLeast"/>
          <w:cantSplit w:val="false"/>
        </w:trPr>
        <w:tc>
          <w:tcPr>
            <w:tcW w:w="1668" w:type="dxa"/>
            <w:tcBorders>
              <w:top w:val="nil"/>
              <w:left w:val="nil"/>
              <w:bottom w:val="nil"/>
              <w:insideH w:val="nil"/>
              <w:right w:val="nil"/>
              <w:insideV w:val="nil"/>
            </w:tcBorders>
            <w:shd w:fill="FFFFFF" w:val="clear"/>
            <w:vAlign w:val="bottom"/>
          </w:tcPr>
          <w:p>
            <w:pPr>
              <w:pStyle w:val="Normal"/>
              <w:rPr>
                <w:rFonts w:cs="Arial" w:ascii="Arial" w:hAnsi="Arial"/>
                <w:b/>
                <w:bCs/>
                <w:sz w:val="20"/>
                <w:szCs w:val="20"/>
              </w:rPr>
            </w:pPr>
            <w:r>
              <w:rPr>
                <w:rFonts w:cs="Arial" w:ascii="Arial" w:hAnsi="Arial"/>
                <w:b/>
                <w:bCs/>
                <w:sz w:val="20"/>
                <w:szCs w:val="20"/>
              </w:rPr>
              <w:t>Type of TB</w:t>
            </w:r>
          </w:p>
        </w:tc>
        <w:tc>
          <w:tcPr>
            <w:tcW w:w="1362" w:type="dxa"/>
            <w:tcBorders>
              <w:top w:val="nil"/>
              <w:left w:val="nil"/>
              <w:bottom w:val="nil"/>
              <w:insideH w:val="nil"/>
              <w:right w:val="nil"/>
              <w:insideV w:val="nil"/>
            </w:tcBorders>
            <w:shd w:fill="FFFFFF" w:val="clear"/>
            <w:vAlign w:val="bottom"/>
          </w:tcPr>
          <w:p>
            <w:pPr>
              <w:pStyle w:val="Normal"/>
              <w:rPr>
                <w:rFonts w:cs="Arial" w:ascii="Arial" w:hAnsi="Arial"/>
                <w:b/>
                <w:bCs/>
                <w:sz w:val="20"/>
                <w:szCs w:val="20"/>
              </w:rPr>
            </w:pPr>
            <w:r>
              <w:rPr>
                <w:rFonts w:cs="Arial" w:ascii="Arial" w:hAnsi="Arial"/>
                <w:b/>
                <w:bCs/>
                <w:sz w:val="20"/>
                <w:szCs w:val="20"/>
              </w:rPr>
              <w:t>New</w:t>
            </w:r>
          </w:p>
        </w:tc>
        <w:tc>
          <w:tcPr>
            <w:tcW w:w="587"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1136</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93,3</w:t>
            </w:r>
          </w:p>
        </w:tc>
        <w:tc>
          <w:tcPr>
            <w:tcW w:w="577"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1689</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89,5</w:t>
            </w:r>
          </w:p>
        </w:tc>
        <w:tc>
          <w:tcPr>
            <w:tcW w:w="577"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2355</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91,8</w:t>
            </w:r>
          </w:p>
        </w:tc>
        <w:tc>
          <w:tcPr>
            <w:tcW w:w="577"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3316</w:t>
            </w:r>
          </w:p>
        </w:tc>
        <w:tc>
          <w:tcPr>
            <w:tcW w:w="521"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89,5</w:t>
            </w:r>
          </w:p>
        </w:tc>
        <w:tc>
          <w:tcPr>
            <w:tcW w:w="559" w:type="dxa"/>
            <w:gridSpan w:val="2"/>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8496</w:t>
            </w:r>
          </w:p>
        </w:tc>
        <w:tc>
          <w:tcPr>
            <w:tcW w:w="512" w:type="dxa"/>
            <w:tcBorders>
              <w:top w:val="nil"/>
              <w:left w:val="nil"/>
              <w:bottom w:val="nil"/>
              <w:insideH w:val="nil"/>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90,6</w:t>
            </w:r>
          </w:p>
        </w:tc>
      </w:tr>
      <w:tr>
        <w:trPr>
          <w:trHeight w:val="300" w:hRule="atLeast"/>
          <w:cantSplit w:val="false"/>
        </w:trPr>
        <w:tc>
          <w:tcPr>
            <w:tcW w:w="1668" w:type="dxa"/>
            <w:tcBorders>
              <w:top w:val="nil"/>
              <w:left w:val="nil"/>
              <w:bottom w:val="single" w:sz="4" w:space="0" w:color="00000A"/>
              <w:insideH w:val="single" w:sz="4" w:space="0" w:color="00000A"/>
              <w:right w:val="nil"/>
              <w:insideV w:val="nil"/>
            </w:tcBorders>
            <w:shd w:fill="FFFFFF" w:val="clear"/>
            <w:vAlign w:val="bottom"/>
          </w:tcPr>
          <w:p>
            <w:pPr>
              <w:pStyle w:val="Normal"/>
              <w:rPr>
                <w:rFonts w:cs="Arial" w:ascii="Arial" w:hAnsi="Arial"/>
                <w:b/>
                <w:bCs/>
                <w:sz w:val="20"/>
                <w:szCs w:val="20"/>
              </w:rPr>
            </w:pPr>
            <w:r>
              <w:rPr>
                <w:rFonts w:cs="Arial" w:ascii="Arial" w:hAnsi="Arial"/>
                <w:b/>
                <w:bCs/>
                <w:sz w:val="20"/>
                <w:szCs w:val="20"/>
              </w:rPr>
              <w:t> </w:t>
            </w:r>
          </w:p>
        </w:tc>
        <w:tc>
          <w:tcPr>
            <w:tcW w:w="1362" w:type="dxa"/>
            <w:tcBorders>
              <w:top w:val="nil"/>
              <w:left w:val="nil"/>
              <w:bottom w:val="single" w:sz="4" w:space="0" w:color="00000A"/>
              <w:insideH w:val="single" w:sz="4" w:space="0" w:color="00000A"/>
              <w:right w:val="nil"/>
              <w:insideV w:val="nil"/>
            </w:tcBorders>
            <w:shd w:fill="FFFFFF" w:val="clear"/>
            <w:vAlign w:val="bottom"/>
          </w:tcPr>
          <w:p>
            <w:pPr>
              <w:pStyle w:val="Normal"/>
              <w:rPr>
                <w:rFonts w:cs="Arial" w:ascii="Arial" w:hAnsi="Arial"/>
                <w:b/>
                <w:bCs/>
                <w:sz w:val="20"/>
                <w:szCs w:val="20"/>
              </w:rPr>
            </w:pPr>
            <w:r>
              <w:rPr>
                <w:rFonts w:cs="Arial" w:ascii="Arial" w:hAnsi="Arial"/>
                <w:b/>
                <w:bCs/>
                <w:sz w:val="20"/>
                <w:szCs w:val="20"/>
              </w:rPr>
              <w:t>Retreatment*</w:t>
            </w:r>
          </w:p>
        </w:tc>
        <w:tc>
          <w:tcPr>
            <w:tcW w:w="587" w:type="dxa"/>
            <w:tcBorders>
              <w:top w:val="nil"/>
              <w:left w:val="nil"/>
              <w:bottom w:val="single" w:sz="4" w:space="0" w:color="00000A"/>
              <w:insideH w:val="single" w:sz="4" w:space="0" w:color="00000A"/>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81</w:t>
            </w:r>
          </w:p>
        </w:tc>
        <w:tc>
          <w:tcPr>
            <w:tcW w:w="521" w:type="dxa"/>
            <w:tcBorders>
              <w:top w:val="nil"/>
              <w:left w:val="nil"/>
              <w:bottom w:val="single" w:sz="4" w:space="0" w:color="00000A"/>
              <w:insideH w:val="single" w:sz="4" w:space="0" w:color="00000A"/>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6,7</w:t>
            </w:r>
          </w:p>
        </w:tc>
        <w:tc>
          <w:tcPr>
            <w:tcW w:w="577" w:type="dxa"/>
            <w:tcBorders>
              <w:top w:val="nil"/>
              <w:left w:val="nil"/>
              <w:bottom w:val="single" w:sz="4" w:space="0" w:color="00000A"/>
              <w:insideH w:val="single" w:sz="4" w:space="0" w:color="00000A"/>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199</w:t>
            </w:r>
          </w:p>
        </w:tc>
        <w:tc>
          <w:tcPr>
            <w:tcW w:w="521" w:type="dxa"/>
            <w:tcBorders>
              <w:top w:val="nil"/>
              <w:left w:val="nil"/>
              <w:bottom w:val="single" w:sz="4" w:space="0" w:color="00000A"/>
              <w:insideH w:val="single" w:sz="4" w:space="0" w:color="00000A"/>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10,5</w:t>
            </w:r>
          </w:p>
        </w:tc>
        <w:tc>
          <w:tcPr>
            <w:tcW w:w="577" w:type="dxa"/>
            <w:gridSpan w:val="2"/>
            <w:tcBorders>
              <w:top w:val="nil"/>
              <w:left w:val="nil"/>
              <w:bottom w:val="single" w:sz="4" w:space="0" w:color="00000A"/>
              <w:insideH w:val="single" w:sz="4" w:space="0" w:color="00000A"/>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210</w:t>
            </w:r>
          </w:p>
        </w:tc>
        <w:tc>
          <w:tcPr>
            <w:tcW w:w="521" w:type="dxa"/>
            <w:tcBorders>
              <w:top w:val="nil"/>
              <w:left w:val="nil"/>
              <w:bottom w:val="single" w:sz="4" w:space="0" w:color="00000A"/>
              <w:insideH w:val="single" w:sz="4" w:space="0" w:color="00000A"/>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8,2</w:t>
            </w:r>
          </w:p>
        </w:tc>
        <w:tc>
          <w:tcPr>
            <w:tcW w:w="577" w:type="dxa"/>
            <w:gridSpan w:val="2"/>
            <w:tcBorders>
              <w:top w:val="nil"/>
              <w:left w:val="nil"/>
              <w:bottom w:val="single" w:sz="4" w:space="0" w:color="00000A"/>
              <w:insideH w:val="single" w:sz="4" w:space="0" w:color="00000A"/>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388</w:t>
            </w:r>
          </w:p>
        </w:tc>
        <w:tc>
          <w:tcPr>
            <w:tcW w:w="521" w:type="dxa"/>
            <w:tcBorders>
              <w:top w:val="nil"/>
              <w:left w:val="nil"/>
              <w:bottom w:val="single" w:sz="4" w:space="0" w:color="00000A"/>
              <w:insideH w:val="single" w:sz="4" w:space="0" w:color="00000A"/>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10,5</w:t>
            </w:r>
          </w:p>
        </w:tc>
        <w:tc>
          <w:tcPr>
            <w:tcW w:w="559" w:type="dxa"/>
            <w:gridSpan w:val="2"/>
            <w:tcBorders>
              <w:top w:val="nil"/>
              <w:left w:val="nil"/>
              <w:bottom w:val="single" w:sz="4" w:space="0" w:color="00000A"/>
              <w:insideH w:val="single" w:sz="4" w:space="0" w:color="00000A"/>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878</w:t>
            </w:r>
          </w:p>
        </w:tc>
        <w:tc>
          <w:tcPr>
            <w:tcW w:w="512" w:type="dxa"/>
            <w:tcBorders>
              <w:top w:val="nil"/>
              <w:left w:val="nil"/>
              <w:bottom w:val="single" w:sz="4" w:space="0" w:color="00000A"/>
              <w:insideH w:val="single" w:sz="4" w:space="0" w:color="00000A"/>
              <w:right w:val="nil"/>
              <w:insideV w:val="nil"/>
            </w:tcBorders>
            <w:shd w:fill="FFFFFF" w:val="clear"/>
            <w:vAlign w:val="bottom"/>
          </w:tcPr>
          <w:p>
            <w:pPr>
              <w:pStyle w:val="Normal"/>
              <w:jc w:val="center"/>
              <w:rPr>
                <w:rFonts w:cs="Arial" w:ascii="Arial" w:hAnsi="Arial"/>
                <w:color w:val="000000"/>
                <w:sz w:val="18"/>
                <w:szCs w:val="18"/>
              </w:rPr>
            </w:pPr>
            <w:r>
              <w:rPr>
                <w:rFonts w:cs="Arial" w:ascii="Arial" w:hAnsi="Arial"/>
                <w:color w:val="000000"/>
                <w:sz w:val="18"/>
                <w:szCs w:val="18"/>
              </w:rPr>
              <w:t>9,4</w:t>
            </w:r>
          </w:p>
        </w:tc>
      </w:tr>
    </w:tbl>
    <w:p>
      <w:pPr>
        <w:pStyle w:val="Normal"/>
        <w:rPr>
          <w:lang w:val="en-US"/>
        </w:rPr>
      </w:pPr>
      <w:r>
        <w:rPr>
          <w:lang w:val="en-US"/>
        </w:rPr>
      </w:r>
    </w:p>
    <w:p>
      <w:pPr>
        <w:pStyle w:val="Normal"/>
        <w:rPr>
          <w:rFonts w:cs="Arial" w:ascii="Arial" w:hAnsi="Arial"/>
          <w:sz w:val="18"/>
          <w:szCs w:val="18"/>
          <w:lang w:val="en-US"/>
        </w:rPr>
      </w:pPr>
      <w:r>
        <w:rPr>
          <w:rFonts w:cs="Arial" w:ascii="Arial" w:hAnsi="Arial"/>
          <w:sz w:val="18"/>
          <w:szCs w:val="18"/>
          <w:lang w:val="en-US"/>
        </w:rPr>
        <w:t xml:space="preserve">*Retreatment is the same as previously treated patients. </w:t>
      </w:r>
    </w:p>
    <w:p>
      <w:pPr>
        <w:pStyle w:val="Normal"/>
        <w:rPr>
          <w:rFonts w:cs="Arial" w:ascii="Arial" w:hAnsi="Arial"/>
          <w:sz w:val="18"/>
          <w:szCs w:val="18"/>
          <w:lang w:val="en-US"/>
        </w:rPr>
      </w:pPr>
      <w:r>
        <w:rPr>
          <w:rFonts w:cs="Arial" w:ascii="Arial" w:hAnsi="Arial"/>
          <w:sz w:val="18"/>
          <w:szCs w:val="18"/>
          <w:lang w:val="en-US"/>
        </w:rPr>
        <w:t>Note: Some of the totals within each category do not sum the total number of patients mentioned in the text as missing data wasn´t taken into account.</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rFonts w:cs="Calibri" w:ascii="Calibri" w:hAnsi="Calibri"/>
          <w:lang w:val="en-GB"/>
        </w:rPr>
      </w:pPr>
      <w:r>
        <w:rPr>
          <w:rFonts w:cs="Calibri" w:ascii="Calibri" w:hAnsi="Calibri"/>
          <w:lang w:val="en-GB"/>
        </w:rPr>
        <w:t xml:space="preserve">3) Figure 1. Incidence risk for Tuberculosis per 100.000 population for men and women in Manhiça District from 1997 to 2012. </w:t>
      </w:r>
    </w:p>
    <w:p>
      <w:pPr>
        <w:pStyle w:val="Normal"/>
        <w:rPr>
          <w:rFonts w:cs="Calibri" w:ascii="Calibri" w:hAnsi="Calibri"/>
          <w:lang w:val="en-GB"/>
        </w:rPr>
      </w:pPr>
      <w:r>
        <w:rPr>
          <w:rFonts w:cs="Calibri" w:ascii="Calibri" w:hAnsi="Calibri"/>
          <w:lang w:val="en-GB"/>
        </w:rPr>
      </w:r>
    </w:p>
    <w:p>
      <w:pPr>
        <w:pStyle w:val="Normal"/>
        <w:rPr/>
      </w:pPr>
      <w:r>
        <w:rPr/>
        <w:drawing>
          <wp:inline distT="0" distB="0" distL="0" distR="0">
            <wp:extent cx="5400040" cy="289242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rPr>
          <w:rFonts w:cs="Calibri" w:ascii="Calibri" w:hAnsi="Calibri"/>
          <w:lang w:val="en-GB"/>
        </w:rPr>
      </w:pPr>
      <w:r>
        <w:rPr>
          <w:rFonts w:cs="Calibri" w:ascii="Calibri" w:hAnsi="Calibri"/>
          <w:lang w:val="en-GB"/>
        </w:rPr>
      </w:r>
    </w:p>
    <w:p>
      <w:pPr>
        <w:pStyle w:val="Normal"/>
        <w:rPr>
          <w:rFonts w:cs="Calibri" w:ascii="Calibri" w:hAnsi="Calibri"/>
          <w:lang w:val="en-GB"/>
        </w:rPr>
      </w:pPr>
      <w:r>
        <w:rPr>
          <w:rFonts w:cs="Calibri" w:ascii="Calibri" w:hAnsi="Calibri"/>
          <w:lang w:val="en-GB"/>
        </w:rPr>
      </w:r>
    </w:p>
    <w:p>
      <w:pPr>
        <w:pStyle w:val="Normal"/>
        <w:rPr>
          <w:rFonts w:cs="Calibri" w:ascii="Calibri" w:hAnsi="Calibri"/>
          <w:lang w:val="en-GB"/>
        </w:rPr>
      </w:pPr>
      <w:r>
        <w:rPr>
          <w:rFonts w:cs="Calibri" w:ascii="Calibri" w:hAnsi="Calibri"/>
          <w:lang w:val="en-GB"/>
        </w:rPr>
      </w:r>
    </w:p>
    <w:p>
      <w:pPr>
        <w:pStyle w:val="Normal"/>
        <w:rPr>
          <w:rFonts w:cs="Calibri" w:ascii="Calibri" w:hAnsi="Calibri"/>
          <w:lang w:val="en-GB"/>
        </w:rPr>
      </w:pPr>
      <w:r>
        <w:rPr>
          <w:rFonts w:cs="Calibri" w:ascii="Calibri" w:hAnsi="Calibri"/>
          <w:lang w:val="en-GB"/>
        </w:rPr>
      </w:r>
    </w:p>
    <w:p>
      <w:pPr>
        <w:pStyle w:val="Normal"/>
        <w:rPr>
          <w:rFonts w:cs="Calibri" w:ascii="Calibri" w:hAnsi="Calibri"/>
          <w:lang w:val="en-GB"/>
        </w:rPr>
      </w:pPr>
      <w:r>
        <w:rPr>
          <w:rFonts w:cs="Calibri" w:ascii="Calibri" w:hAnsi="Calibri"/>
          <w:lang w:val="en-GB"/>
        </w:rPr>
        <w:t xml:space="preserve">4) Table 2. Incidence risk for Tuberculosis per 100.000 population stratified by age group and gender from 1997-2012. </w:t>
      </w:r>
    </w:p>
    <w:p>
      <w:pPr>
        <w:pStyle w:val="Normal"/>
        <w:rPr>
          <w:rFonts w:cs="Calibri" w:ascii="Calibri" w:hAnsi="Calibri"/>
          <w:lang w:val="en-GB"/>
        </w:rPr>
      </w:pPr>
      <w:r>
        <w:rPr>
          <w:rFonts w:cs="Calibri" w:ascii="Calibri" w:hAnsi="Calibri"/>
          <w:lang w:val="en-GB"/>
        </w:rPr>
      </w:r>
    </w:p>
    <w:tbl>
      <w:tblPr>
        <w:tblW w:w="8504" w:type="dxa"/>
        <w:jc w:val="left"/>
        <w:tblInd w:w="0" w:type="dxa"/>
        <w:tblBorders>
          <w:top w:val="single" w:sz="4" w:space="0" w:color="00000A"/>
          <w:left w:val="nil"/>
          <w:bottom w:val="nil"/>
          <w:insideH w:val="nil"/>
          <w:right w:val="nil"/>
          <w:insideV w:val="nil"/>
        </w:tblBorders>
        <w:tblCellMar>
          <w:top w:w="0" w:type="dxa"/>
          <w:left w:w="70" w:type="dxa"/>
          <w:bottom w:w="0" w:type="dxa"/>
          <w:right w:w="70" w:type="dxa"/>
        </w:tblCellMar>
      </w:tblPr>
      <w:tblGrid>
        <w:gridCol w:w="894"/>
        <w:gridCol w:w="532"/>
        <w:gridCol w:w="898"/>
        <w:gridCol w:w="1"/>
        <w:gridCol w:w="643"/>
        <w:gridCol w:w="899"/>
        <w:gridCol w:w="2"/>
        <w:gridCol w:w="642"/>
        <w:gridCol w:w="899"/>
        <w:gridCol w:w="2"/>
        <w:gridCol w:w="641"/>
        <w:gridCol w:w="900"/>
        <w:gridCol w:w="4"/>
        <w:gridCol w:w="641"/>
        <w:gridCol w:w="904"/>
      </w:tblGrid>
      <w:tr>
        <w:trPr>
          <w:trHeight w:val="300" w:hRule="atLeast"/>
          <w:cantSplit w:val="false"/>
        </w:trPr>
        <w:tc>
          <w:tcPr>
            <w:tcW w:w="894" w:type="dxa"/>
            <w:tcBorders>
              <w:top w:val="single" w:sz="4" w:space="0" w:color="00000A"/>
              <w:left w:val="nil"/>
              <w:bottom w:val="nil"/>
              <w:insideH w:val="nil"/>
              <w:right w:val="nil"/>
              <w:insideV w:val="nil"/>
            </w:tcBorders>
            <w:shd w:fill="FFFFFF" w:val="clear"/>
            <w:vAlign w:val="bottom"/>
          </w:tcPr>
          <w:p>
            <w:pPr>
              <w:pStyle w:val="Normal"/>
              <w:rPr>
                <w:rFonts w:cs="Calibri" w:ascii="Calibri" w:hAnsi="Calibri"/>
                <w:color w:val="000000"/>
                <w:sz w:val="22"/>
                <w:szCs w:val="22"/>
                <w:lang w:val="en-US"/>
              </w:rPr>
            </w:pPr>
            <w:r>
              <w:rPr>
                <w:rFonts w:cs="Calibri" w:ascii="Calibri" w:hAnsi="Calibri"/>
                <w:color w:val="000000"/>
                <w:sz w:val="22"/>
                <w:szCs w:val="22"/>
                <w:lang w:val="en-US"/>
              </w:rPr>
              <w:t> </w:t>
            </w:r>
          </w:p>
        </w:tc>
        <w:tc>
          <w:tcPr>
            <w:tcW w:w="1431" w:type="dxa"/>
            <w:gridSpan w:val="3"/>
            <w:tcBorders>
              <w:top w:val="single" w:sz="4" w:space="0" w:color="00000A"/>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1997-2000</w:t>
            </w:r>
          </w:p>
        </w:tc>
        <w:tc>
          <w:tcPr>
            <w:tcW w:w="1544" w:type="dxa"/>
            <w:gridSpan w:val="3"/>
            <w:tcBorders>
              <w:top w:val="single" w:sz="4" w:space="0" w:color="00000A"/>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2001-2004</w:t>
            </w:r>
          </w:p>
        </w:tc>
        <w:tc>
          <w:tcPr>
            <w:tcW w:w="1543" w:type="dxa"/>
            <w:gridSpan w:val="3"/>
            <w:tcBorders>
              <w:top w:val="single" w:sz="4" w:space="0" w:color="00000A"/>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2005-2008</w:t>
            </w:r>
          </w:p>
        </w:tc>
        <w:tc>
          <w:tcPr>
            <w:tcW w:w="1545" w:type="dxa"/>
            <w:gridSpan w:val="3"/>
            <w:tcBorders>
              <w:top w:val="single" w:sz="4" w:space="0" w:color="00000A"/>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2009-2012</w:t>
            </w:r>
          </w:p>
        </w:tc>
        <w:tc>
          <w:tcPr>
            <w:tcW w:w="1545" w:type="dxa"/>
            <w:gridSpan w:val="2"/>
            <w:tcBorders>
              <w:top w:val="single" w:sz="4" w:space="0" w:color="00000A"/>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total</w:t>
            </w:r>
          </w:p>
        </w:tc>
      </w:tr>
      <w:tr>
        <w:trPr>
          <w:trHeight w:val="300" w:hRule="atLeast"/>
          <w:cantSplit w:val="false"/>
        </w:trPr>
        <w:tc>
          <w:tcPr>
            <w:tcW w:w="894" w:type="dxa"/>
            <w:tcBorders>
              <w:top w:val="nil"/>
              <w:left w:val="nil"/>
              <w:bottom w:val="single" w:sz="4" w:space="0" w:color="00000A"/>
              <w:insideH w:val="single" w:sz="4" w:space="0" w:color="00000A"/>
              <w:right w:val="nil"/>
              <w:insideV w:val="nil"/>
            </w:tcBorders>
            <w:shd w:fill="FFFFFF" w:val="clear"/>
            <w:vAlign w:val="bottom"/>
          </w:tcPr>
          <w:p>
            <w:pPr>
              <w:pStyle w:val="Normal"/>
              <w:rPr>
                <w:rFonts w:cs="Calibri" w:ascii="Calibri" w:hAnsi="Calibri"/>
                <w:color w:val="000000"/>
                <w:sz w:val="22"/>
                <w:szCs w:val="22"/>
              </w:rPr>
            </w:pPr>
            <w:r>
              <w:rPr>
                <w:rFonts w:cs="Calibri" w:ascii="Calibri" w:hAnsi="Calibri"/>
                <w:color w:val="000000"/>
                <w:sz w:val="22"/>
                <w:szCs w:val="22"/>
              </w:rPr>
              <w:t> </w:t>
            </w:r>
          </w:p>
        </w:tc>
        <w:tc>
          <w:tcPr>
            <w:tcW w:w="532" w:type="dxa"/>
            <w:tcBorders>
              <w:top w:val="nil"/>
              <w:left w:val="nil"/>
              <w:bottom w:val="single" w:sz="4" w:space="0" w:color="00000A"/>
              <w:insideH w:val="single" w:sz="4" w:space="0" w:color="00000A"/>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men</w:t>
            </w:r>
          </w:p>
        </w:tc>
        <w:tc>
          <w:tcPr>
            <w:tcW w:w="898" w:type="dxa"/>
            <w:tcBorders>
              <w:top w:val="nil"/>
              <w:left w:val="nil"/>
              <w:bottom w:val="single" w:sz="4" w:space="0" w:color="00000A"/>
              <w:insideH w:val="single" w:sz="4" w:space="0" w:color="00000A"/>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women</w:t>
            </w:r>
          </w:p>
        </w:tc>
        <w:tc>
          <w:tcPr>
            <w:tcW w:w="644" w:type="dxa"/>
            <w:gridSpan w:val="2"/>
            <w:tcBorders>
              <w:top w:val="nil"/>
              <w:left w:val="nil"/>
              <w:bottom w:val="single" w:sz="4" w:space="0" w:color="00000A"/>
              <w:insideH w:val="single" w:sz="4" w:space="0" w:color="00000A"/>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men</w:t>
            </w:r>
          </w:p>
        </w:tc>
        <w:tc>
          <w:tcPr>
            <w:tcW w:w="899" w:type="dxa"/>
            <w:tcBorders>
              <w:top w:val="nil"/>
              <w:left w:val="nil"/>
              <w:bottom w:val="single" w:sz="4" w:space="0" w:color="00000A"/>
              <w:insideH w:val="single" w:sz="4" w:space="0" w:color="00000A"/>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women</w:t>
            </w:r>
          </w:p>
        </w:tc>
        <w:tc>
          <w:tcPr>
            <w:tcW w:w="644" w:type="dxa"/>
            <w:gridSpan w:val="2"/>
            <w:tcBorders>
              <w:top w:val="nil"/>
              <w:left w:val="nil"/>
              <w:bottom w:val="single" w:sz="4" w:space="0" w:color="00000A"/>
              <w:insideH w:val="single" w:sz="4" w:space="0" w:color="00000A"/>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men</w:t>
            </w:r>
          </w:p>
        </w:tc>
        <w:tc>
          <w:tcPr>
            <w:tcW w:w="899" w:type="dxa"/>
            <w:tcBorders>
              <w:top w:val="nil"/>
              <w:left w:val="nil"/>
              <w:bottom w:val="single" w:sz="4" w:space="0" w:color="00000A"/>
              <w:insideH w:val="single" w:sz="4" w:space="0" w:color="00000A"/>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women</w:t>
            </w:r>
          </w:p>
        </w:tc>
        <w:tc>
          <w:tcPr>
            <w:tcW w:w="643" w:type="dxa"/>
            <w:gridSpan w:val="2"/>
            <w:tcBorders>
              <w:top w:val="nil"/>
              <w:left w:val="nil"/>
              <w:bottom w:val="single" w:sz="4" w:space="0" w:color="00000A"/>
              <w:insideH w:val="single" w:sz="4" w:space="0" w:color="00000A"/>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men</w:t>
            </w:r>
          </w:p>
        </w:tc>
        <w:tc>
          <w:tcPr>
            <w:tcW w:w="900" w:type="dxa"/>
            <w:tcBorders>
              <w:top w:val="nil"/>
              <w:left w:val="nil"/>
              <w:bottom w:val="single" w:sz="4" w:space="0" w:color="00000A"/>
              <w:insideH w:val="single" w:sz="4" w:space="0" w:color="00000A"/>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women</w:t>
            </w:r>
          </w:p>
        </w:tc>
        <w:tc>
          <w:tcPr>
            <w:tcW w:w="645" w:type="dxa"/>
            <w:gridSpan w:val="2"/>
            <w:tcBorders>
              <w:top w:val="nil"/>
              <w:left w:val="nil"/>
              <w:bottom w:val="single" w:sz="4" w:space="0" w:color="00000A"/>
              <w:insideH w:val="single" w:sz="4" w:space="0" w:color="00000A"/>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men</w:t>
            </w:r>
          </w:p>
        </w:tc>
        <w:tc>
          <w:tcPr>
            <w:tcW w:w="904" w:type="dxa"/>
            <w:tcBorders>
              <w:top w:val="nil"/>
              <w:left w:val="nil"/>
              <w:bottom w:val="single" w:sz="4" w:space="0" w:color="00000A"/>
              <w:insideH w:val="single" w:sz="4" w:space="0" w:color="00000A"/>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women</w:t>
            </w:r>
          </w:p>
        </w:tc>
      </w:tr>
      <w:tr>
        <w:trPr>
          <w:trHeight w:val="300" w:hRule="atLeast"/>
          <w:cantSplit w:val="false"/>
        </w:trPr>
        <w:tc>
          <w:tcPr>
            <w:tcW w:w="894" w:type="dxa"/>
            <w:tcBorders>
              <w:top w:val="nil"/>
              <w:left w:val="nil"/>
              <w:bottom w:val="nil"/>
              <w:insideH w:val="nil"/>
              <w:right w:val="nil"/>
              <w:insideV w:val="nil"/>
            </w:tcBorders>
            <w:shd w:fill="FFFFFF" w:val="clear"/>
            <w:vAlign w:val="bottom"/>
          </w:tcPr>
          <w:p>
            <w:pPr>
              <w:pStyle w:val="Normal"/>
              <w:rPr>
                <w:rFonts w:cs="Calibri" w:ascii="Calibri" w:hAnsi="Calibri"/>
                <w:color w:val="000000"/>
                <w:sz w:val="22"/>
                <w:szCs w:val="22"/>
              </w:rPr>
            </w:pPr>
            <w:r>
              <w:rPr>
                <w:rFonts w:cs="Calibri" w:ascii="Calibri" w:hAnsi="Calibri"/>
                <w:color w:val="000000"/>
                <w:sz w:val="22"/>
                <w:szCs w:val="22"/>
              </w:rPr>
              <w:t>0-4</w:t>
            </w:r>
          </w:p>
        </w:tc>
        <w:tc>
          <w:tcPr>
            <w:tcW w:w="532"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229</w:t>
            </w:r>
          </w:p>
        </w:tc>
        <w:tc>
          <w:tcPr>
            <w:tcW w:w="898"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230</w:t>
            </w:r>
          </w:p>
        </w:tc>
        <w:tc>
          <w:tcPr>
            <w:tcW w:w="644"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167</w:t>
            </w:r>
          </w:p>
        </w:tc>
        <w:tc>
          <w:tcPr>
            <w:tcW w:w="899"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152</w:t>
            </w:r>
          </w:p>
        </w:tc>
        <w:tc>
          <w:tcPr>
            <w:tcW w:w="644"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246</w:t>
            </w:r>
          </w:p>
        </w:tc>
        <w:tc>
          <w:tcPr>
            <w:tcW w:w="899"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249</w:t>
            </w:r>
          </w:p>
        </w:tc>
        <w:tc>
          <w:tcPr>
            <w:tcW w:w="643"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405</w:t>
            </w:r>
          </w:p>
        </w:tc>
        <w:tc>
          <w:tcPr>
            <w:tcW w:w="900"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305</w:t>
            </w:r>
          </w:p>
        </w:tc>
        <w:tc>
          <w:tcPr>
            <w:tcW w:w="645"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262</w:t>
            </w:r>
          </w:p>
        </w:tc>
        <w:tc>
          <w:tcPr>
            <w:tcW w:w="904"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234</w:t>
            </w:r>
          </w:p>
        </w:tc>
      </w:tr>
      <w:tr>
        <w:trPr>
          <w:trHeight w:val="300" w:hRule="atLeast"/>
          <w:cantSplit w:val="false"/>
        </w:trPr>
        <w:tc>
          <w:tcPr>
            <w:tcW w:w="894" w:type="dxa"/>
            <w:tcBorders>
              <w:top w:val="nil"/>
              <w:left w:val="nil"/>
              <w:bottom w:val="nil"/>
              <w:insideH w:val="nil"/>
              <w:right w:val="nil"/>
              <w:insideV w:val="nil"/>
            </w:tcBorders>
            <w:shd w:fill="FFFFFF" w:val="clear"/>
            <w:vAlign w:val="bottom"/>
          </w:tcPr>
          <w:p>
            <w:pPr>
              <w:pStyle w:val="Normal"/>
              <w:rPr>
                <w:rFonts w:cs="Calibri" w:ascii="Calibri" w:hAnsi="Calibri"/>
                <w:color w:val="000000"/>
                <w:sz w:val="22"/>
                <w:szCs w:val="22"/>
              </w:rPr>
            </w:pPr>
            <w:r>
              <w:rPr>
                <w:rFonts w:cs="Calibri" w:ascii="Calibri" w:hAnsi="Calibri"/>
                <w:color w:val="000000"/>
                <w:sz w:val="22"/>
                <w:szCs w:val="22"/>
              </w:rPr>
              <w:t>5-14</w:t>
            </w:r>
          </w:p>
        </w:tc>
        <w:tc>
          <w:tcPr>
            <w:tcW w:w="532"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39</w:t>
            </w:r>
          </w:p>
        </w:tc>
        <w:tc>
          <w:tcPr>
            <w:tcW w:w="898"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22</w:t>
            </w:r>
          </w:p>
        </w:tc>
        <w:tc>
          <w:tcPr>
            <w:tcW w:w="644"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48</w:t>
            </w:r>
          </w:p>
        </w:tc>
        <w:tc>
          <w:tcPr>
            <w:tcW w:w="899"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53</w:t>
            </w:r>
          </w:p>
        </w:tc>
        <w:tc>
          <w:tcPr>
            <w:tcW w:w="644"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93</w:t>
            </w:r>
          </w:p>
        </w:tc>
        <w:tc>
          <w:tcPr>
            <w:tcW w:w="899"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110</w:t>
            </w:r>
          </w:p>
        </w:tc>
        <w:tc>
          <w:tcPr>
            <w:tcW w:w="643"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97</w:t>
            </w:r>
          </w:p>
        </w:tc>
        <w:tc>
          <w:tcPr>
            <w:tcW w:w="900"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115</w:t>
            </w:r>
          </w:p>
        </w:tc>
        <w:tc>
          <w:tcPr>
            <w:tcW w:w="645"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69</w:t>
            </w:r>
          </w:p>
        </w:tc>
        <w:tc>
          <w:tcPr>
            <w:tcW w:w="904"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75</w:t>
            </w:r>
          </w:p>
        </w:tc>
      </w:tr>
      <w:tr>
        <w:trPr>
          <w:trHeight w:val="300" w:hRule="atLeast"/>
          <w:cantSplit w:val="false"/>
        </w:trPr>
        <w:tc>
          <w:tcPr>
            <w:tcW w:w="894" w:type="dxa"/>
            <w:tcBorders>
              <w:top w:val="nil"/>
              <w:left w:val="nil"/>
              <w:bottom w:val="nil"/>
              <w:insideH w:val="nil"/>
              <w:right w:val="nil"/>
              <w:insideV w:val="nil"/>
            </w:tcBorders>
            <w:shd w:fill="FFFFFF" w:val="clear"/>
            <w:vAlign w:val="bottom"/>
          </w:tcPr>
          <w:p>
            <w:pPr>
              <w:pStyle w:val="Normal"/>
              <w:rPr>
                <w:rFonts w:cs="Calibri" w:ascii="Calibri" w:hAnsi="Calibri"/>
                <w:color w:val="000000"/>
                <w:sz w:val="22"/>
                <w:szCs w:val="22"/>
              </w:rPr>
            </w:pPr>
            <w:r>
              <w:rPr>
                <w:rFonts w:cs="Calibri" w:ascii="Calibri" w:hAnsi="Calibri"/>
                <w:color w:val="000000"/>
                <w:sz w:val="22"/>
                <w:szCs w:val="22"/>
              </w:rPr>
              <w:t>15-29</w:t>
            </w:r>
          </w:p>
        </w:tc>
        <w:tc>
          <w:tcPr>
            <w:tcW w:w="532"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188</w:t>
            </w:r>
          </w:p>
        </w:tc>
        <w:tc>
          <w:tcPr>
            <w:tcW w:w="898"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158</w:t>
            </w:r>
          </w:p>
        </w:tc>
        <w:tc>
          <w:tcPr>
            <w:tcW w:w="644"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368</w:t>
            </w:r>
          </w:p>
        </w:tc>
        <w:tc>
          <w:tcPr>
            <w:tcW w:w="899"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306</w:t>
            </w:r>
          </w:p>
        </w:tc>
        <w:tc>
          <w:tcPr>
            <w:tcW w:w="644"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461</w:t>
            </w:r>
          </w:p>
        </w:tc>
        <w:tc>
          <w:tcPr>
            <w:tcW w:w="899"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400</w:t>
            </w:r>
          </w:p>
        </w:tc>
        <w:tc>
          <w:tcPr>
            <w:tcW w:w="643"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602</w:t>
            </w:r>
          </w:p>
        </w:tc>
        <w:tc>
          <w:tcPr>
            <w:tcW w:w="900"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589</w:t>
            </w:r>
          </w:p>
        </w:tc>
        <w:tc>
          <w:tcPr>
            <w:tcW w:w="645"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405</w:t>
            </w:r>
          </w:p>
        </w:tc>
        <w:tc>
          <w:tcPr>
            <w:tcW w:w="904"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363</w:t>
            </w:r>
          </w:p>
        </w:tc>
      </w:tr>
      <w:tr>
        <w:trPr>
          <w:trHeight w:val="300" w:hRule="atLeast"/>
          <w:cantSplit w:val="false"/>
        </w:trPr>
        <w:tc>
          <w:tcPr>
            <w:tcW w:w="894" w:type="dxa"/>
            <w:tcBorders>
              <w:top w:val="nil"/>
              <w:left w:val="nil"/>
              <w:bottom w:val="nil"/>
              <w:insideH w:val="nil"/>
              <w:right w:val="nil"/>
              <w:insideV w:val="nil"/>
            </w:tcBorders>
            <w:shd w:fill="FFFFFF" w:val="clear"/>
            <w:vAlign w:val="bottom"/>
          </w:tcPr>
          <w:p>
            <w:pPr>
              <w:pStyle w:val="Normal"/>
              <w:rPr>
                <w:rFonts w:cs="Calibri" w:ascii="Calibri" w:hAnsi="Calibri"/>
                <w:color w:val="000000"/>
                <w:sz w:val="22"/>
                <w:szCs w:val="22"/>
              </w:rPr>
            </w:pPr>
            <w:r>
              <w:rPr>
                <w:rFonts w:cs="Calibri" w:ascii="Calibri" w:hAnsi="Calibri"/>
                <w:color w:val="000000"/>
                <w:sz w:val="22"/>
                <w:szCs w:val="22"/>
              </w:rPr>
              <w:t>30-49</w:t>
            </w:r>
          </w:p>
        </w:tc>
        <w:tc>
          <w:tcPr>
            <w:tcW w:w="532"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632</w:t>
            </w:r>
          </w:p>
        </w:tc>
        <w:tc>
          <w:tcPr>
            <w:tcW w:w="898"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279</w:t>
            </w:r>
          </w:p>
        </w:tc>
        <w:tc>
          <w:tcPr>
            <w:tcW w:w="644"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1039</w:t>
            </w:r>
          </w:p>
        </w:tc>
        <w:tc>
          <w:tcPr>
            <w:tcW w:w="899"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440</w:t>
            </w:r>
          </w:p>
        </w:tc>
        <w:tc>
          <w:tcPr>
            <w:tcW w:w="644"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1407</w:t>
            </w:r>
          </w:p>
        </w:tc>
        <w:tc>
          <w:tcPr>
            <w:tcW w:w="899"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573</w:t>
            </w:r>
          </w:p>
        </w:tc>
        <w:tc>
          <w:tcPr>
            <w:tcW w:w="643"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2062</w:t>
            </w:r>
          </w:p>
        </w:tc>
        <w:tc>
          <w:tcPr>
            <w:tcW w:w="900"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844</w:t>
            </w:r>
          </w:p>
        </w:tc>
        <w:tc>
          <w:tcPr>
            <w:tcW w:w="645"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1285</w:t>
            </w:r>
          </w:p>
        </w:tc>
        <w:tc>
          <w:tcPr>
            <w:tcW w:w="904"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534</w:t>
            </w:r>
          </w:p>
        </w:tc>
      </w:tr>
      <w:tr>
        <w:trPr>
          <w:trHeight w:val="300" w:hRule="atLeast"/>
          <w:cantSplit w:val="false"/>
        </w:trPr>
        <w:tc>
          <w:tcPr>
            <w:tcW w:w="894" w:type="dxa"/>
            <w:tcBorders>
              <w:top w:val="nil"/>
              <w:left w:val="nil"/>
              <w:bottom w:val="nil"/>
              <w:insideH w:val="nil"/>
              <w:right w:val="nil"/>
              <w:insideV w:val="nil"/>
            </w:tcBorders>
            <w:shd w:fill="FFFFFF" w:val="clear"/>
            <w:vAlign w:val="bottom"/>
          </w:tcPr>
          <w:p>
            <w:pPr>
              <w:pStyle w:val="Normal"/>
              <w:rPr>
                <w:rFonts w:cs="Calibri" w:ascii="Calibri" w:hAnsi="Calibri"/>
                <w:color w:val="000000"/>
                <w:sz w:val="22"/>
                <w:szCs w:val="22"/>
              </w:rPr>
            </w:pPr>
            <w:r>
              <w:rPr>
                <w:rFonts w:cs="Calibri" w:ascii="Calibri" w:hAnsi="Calibri"/>
                <w:color w:val="000000"/>
                <w:sz w:val="22"/>
                <w:szCs w:val="22"/>
              </w:rPr>
              <w:t>50-64</w:t>
            </w:r>
          </w:p>
        </w:tc>
        <w:tc>
          <w:tcPr>
            <w:tcW w:w="532"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776</w:t>
            </w:r>
          </w:p>
        </w:tc>
        <w:tc>
          <w:tcPr>
            <w:tcW w:w="898"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198</w:t>
            </w:r>
          </w:p>
        </w:tc>
        <w:tc>
          <w:tcPr>
            <w:tcW w:w="644"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1017</w:t>
            </w:r>
          </w:p>
        </w:tc>
        <w:tc>
          <w:tcPr>
            <w:tcW w:w="899"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241</w:t>
            </w:r>
          </w:p>
        </w:tc>
        <w:tc>
          <w:tcPr>
            <w:tcW w:w="644"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1105</w:t>
            </w:r>
          </w:p>
        </w:tc>
        <w:tc>
          <w:tcPr>
            <w:tcW w:w="899"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377</w:t>
            </w:r>
          </w:p>
        </w:tc>
        <w:tc>
          <w:tcPr>
            <w:tcW w:w="643"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1406</w:t>
            </w:r>
          </w:p>
        </w:tc>
        <w:tc>
          <w:tcPr>
            <w:tcW w:w="900"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606</w:t>
            </w:r>
          </w:p>
        </w:tc>
        <w:tc>
          <w:tcPr>
            <w:tcW w:w="645"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1076</w:t>
            </w:r>
          </w:p>
        </w:tc>
        <w:tc>
          <w:tcPr>
            <w:tcW w:w="904"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356</w:t>
            </w:r>
          </w:p>
        </w:tc>
      </w:tr>
      <w:tr>
        <w:trPr>
          <w:trHeight w:val="300" w:hRule="atLeast"/>
          <w:cantSplit w:val="false"/>
        </w:trPr>
        <w:tc>
          <w:tcPr>
            <w:tcW w:w="894" w:type="dxa"/>
            <w:tcBorders>
              <w:top w:val="nil"/>
              <w:left w:val="nil"/>
              <w:bottom w:val="nil"/>
              <w:insideH w:val="nil"/>
              <w:right w:val="nil"/>
              <w:insideV w:val="nil"/>
            </w:tcBorders>
            <w:shd w:fill="FFFFFF" w:val="clear"/>
            <w:vAlign w:val="bottom"/>
          </w:tcPr>
          <w:p>
            <w:pPr>
              <w:pStyle w:val="Normal"/>
              <w:rPr>
                <w:rFonts w:cs="Calibri" w:ascii="Calibri" w:hAnsi="Calibri"/>
                <w:color w:val="000000"/>
                <w:sz w:val="22"/>
                <w:szCs w:val="22"/>
              </w:rPr>
            </w:pPr>
            <w:r>
              <w:rPr>
                <w:rFonts w:cs="Calibri" w:ascii="Calibri" w:hAnsi="Calibri"/>
                <w:color w:val="000000"/>
                <w:sz w:val="22"/>
                <w:szCs w:val="22"/>
              </w:rPr>
              <w:t>&gt;65 a</w:t>
            </w:r>
          </w:p>
        </w:tc>
        <w:tc>
          <w:tcPr>
            <w:tcW w:w="532"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446</w:t>
            </w:r>
          </w:p>
        </w:tc>
        <w:tc>
          <w:tcPr>
            <w:tcW w:w="898"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102</w:t>
            </w:r>
          </w:p>
        </w:tc>
        <w:tc>
          <w:tcPr>
            <w:tcW w:w="644"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623</w:t>
            </w:r>
          </w:p>
        </w:tc>
        <w:tc>
          <w:tcPr>
            <w:tcW w:w="899"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77</w:t>
            </w:r>
          </w:p>
        </w:tc>
        <w:tc>
          <w:tcPr>
            <w:tcW w:w="644"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821</w:t>
            </w:r>
          </w:p>
        </w:tc>
        <w:tc>
          <w:tcPr>
            <w:tcW w:w="899"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104</w:t>
            </w:r>
          </w:p>
        </w:tc>
        <w:tc>
          <w:tcPr>
            <w:tcW w:w="643"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1254</w:t>
            </w:r>
          </w:p>
        </w:tc>
        <w:tc>
          <w:tcPr>
            <w:tcW w:w="900"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208</w:t>
            </w:r>
          </w:p>
        </w:tc>
        <w:tc>
          <w:tcPr>
            <w:tcW w:w="645" w:type="dxa"/>
            <w:gridSpan w:val="2"/>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786</w:t>
            </w:r>
          </w:p>
        </w:tc>
        <w:tc>
          <w:tcPr>
            <w:tcW w:w="904"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123</w:t>
            </w:r>
          </w:p>
        </w:tc>
      </w:tr>
      <w:tr>
        <w:trPr>
          <w:trHeight w:val="300" w:hRule="atLeast"/>
          <w:cantSplit w:val="false"/>
        </w:trPr>
        <w:tc>
          <w:tcPr>
            <w:tcW w:w="894" w:type="dxa"/>
            <w:tcBorders>
              <w:top w:val="nil"/>
              <w:left w:val="nil"/>
              <w:bottom w:val="single" w:sz="4" w:space="0" w:color="00000A"/>
              <w:insideH w:val="single" w:sz="4" w:space="0" w:color="00000A"/>
              <w:right w:val="nil"/>
              <w:insideV w:val="nil"/>
            </w:tcBorders>
            <w:shd w:fill="FFFFFF" w:val="clear"/>
            <w:vAlign w:val="bottom"/>
          </w:tcPr>
          <w:p>
            <w:pPr>
              <w:pStyle w:val="Normal"/>
              <w:rPr>
                <w:rFonts w:cs="Calibri" w:ascii="Calibri" w:hAnsi="Calibri"/>
                <w:color w:val="000000"/>
                <w:sz w:val="22"/>
                <w:szCs w:val="22"/>
              </w:rPr>
            </w:pPr>
            <w:r>
              <w:rPr>
                <w:rFonts w:cs="Calibri" w:ascii="Calibri" w:hAnsi="Calibri"/>
                <w:color w:val="000000"/>
                <w:sz w:val="22"/>
                <w:szCs w:val="22"/>
              </w:rPr>
              <w:t>total</w:t>
            </w:r>
          </w:p>
        </w:tc>
        <w:tc>
          <w:tcPr>
            <w:tcW w:w="532" w:type="dxa"/>
            <w:tcBorders>
              <w:top w:val="nil"/>
              <w:left w:val="nil"/>
              <w:bottom w:val="single" w:sz="4" w:space="0" w:color="00000A"/>
              <w:insideH w:val="single" w:sz="4" w:space="0" w:color="00000A"/>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284</w:t>
            </w:r>
          </w:p>
        </w:tc>
        <w:tc>
          <w:tcPr>
            <w:tcW w:w="898" w:type="dxa"/>
            <w:tcBorders>
              <w:top w:val="nil"/>
              <w:left w:val="nil"/>
              <w:bottom w:val="single" w:sz="4" w:space="0" w:color="00000A"/>
              <w:insideH w:val="single" w:sz="4" w:space="0" w:color="00000A"/>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162</w:t>
            </w:r>
          </w:p>
        </w:tc>
        <w:tc>
          <w:tcPr>
            <w:tcW w:w="644" w:type="dxa"/>
            <w:gridSpan w:val="2"/>
            <w:tcBorders>
              <w:top w:val="nil"/>
              <w:left w:val="nil"/>
              <w:bottom w:val="single" w:sz="4" w:space="0" w:color="00000A"/>
              <w:insideH w:val="single" w:sz="4" w:space="0" w:color="00000A"/>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418</w:t>
            </w:r>
          </w:p>
        </w:tc>
        <w:tc>
          <w:tcPr>
            <w:tcW w:w="899" w:type="dxa"/>
            <w:tcBorders>
              <w:top w:val="nil"/>
              <w:left w:val="nil"/>
              <w:bottom w:val="single" w:sz="4" w:space="0" w:color="00000A"/>
              <w:insideH w:val="single" w:sz="4" w:space="0" w:color="00000A"/>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242</w:t>
            </w:r>
          </w:p>
        </w:tc>
        <w:tc>
          <w:tcPr>
            <w:tcW w:w="644" w:type="dxa"/>
            <w:gridSpan w:val="2"/>
            <w:tcBorders>
              <w:top w:val="nil"/>
              <w:left w:val="nil"/>
              <w:bottom w:val="single" w:sz="4" w:space="0" w:color="00000A"/>
              <w:insideH w:val="single" w:sz="4" w:space="0" w:color="00000A"/>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552</w:t>
            </w:r>
          </w:p>
        </w:tc>
        <w:tc>
          <w:tcPr>
            <w:tcW w:w="899" w:type="dxa"/>
            <w:tcBorders>
              <w:top w:val="nil"/>
              <w:left w:val="nil"/>
              <w:bottom w:val="single" w:sz="4" w:space="0" w:color="00000A"/>
              <w:insideH w:val="single" w:sz="4" w:space="0" w:color="00000A"/>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343</w:t>
            </w:r>
          </w:p>
        </w:tc>
        <w:tc>
          <w:tcPr>
            <w:tcW w:w="643" w:type="dxa"/>
            <w:gridSpan w:val="2"/>
            <w:tcBorders>
              <w:top w:val="nil"/>
              <w:left w:val="nil"/>
              <w:bottom w:val="single" w:sz="4" w:space="0" w:color="00000A"/>
              <w:insideH w:val="single" w:sz="4" w:space="0" w:color="00000A"/>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791</w:t>
            </w:r>
          </w:p>
        </w:tc>
        <w:tc>
          <w:tcPr>
            <w:tcW w:w="900" w:type="dxa"/>
            <w:tcBorders>
              <w:top w:val="nil"/>
              <w:left w:val="nil"/>
              <w:bottom w:val="single" w:sz="4" w:space="0" w:color="00000A"/>
              <w:insideH w:val="single" w:sz="4" w:space="0" w:color="00000A"/>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503</w:t>
            </w:r>
          </w:p>
        </w:tc>
        <w:tc>
          <w:tcPr>
            <w:tcW w:w="645" w:type="dxa"/>
            <w:gridSpan w:val="2"/>
            <w:tcBorders>
              <w:top w:val="nil"/>
              <w:left w:val="nil"/>
              <w:bottom w:val="single" w:sz="4" w:space="0" w:color="00000A"/>
              <w:insideH w:val="single" w:sz="4" w:space="0" w:color="00000A"/>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511</w:t>
            </w:r>
          </w:p>
        </w:tc>
        <w:tc>
          <w:tcPr>
            <w:tcW w:w="904" w:type="dxa"/>
            <w:tcBorders>
              <w:top w:val="nil"/>
              <w:left w:val="nil"/>
              <w:bottom w:val="single" w:sz="4" w:space="0" w:color="00000A"/>
              <w:insideH w:val="single" w:sz="4" w:space="0" w:color="00000A"/>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312</w:t>
            </w:r>
          </w:p>
        </w:tc>
      </w:tr>
    </w:tbl>
    <w:p>
      <w:pPr>
        <w:pStyle w:val="Normal"/>
        <w:rPr>
          <w:rFonts w:cs="Calibri" w:ascii="Calibri" w:hAnsi="Calibri"/>
          <w:lang w:val="en-GB"/>
        </w:rPr>
      </w:pPr>
      <w:r>
        <w:rPr>
          <w:rFonts w:cs="Calibri" w:ascii="Calibri" w:hAnsi="Calibri"/>
          <w:lang w:val="en-GB"/>
        </w:rPr>
      </w:r>
    </w:p>
    <w:p>
      <w:pPr>
        <w:pStyle w:val="Normal"/>
        <w:rPr>
          <w:rFonts w:cs="Calibri" w:ascii="Calibri" w:hAnsi="Calibri"/>
          <w:lang w:val="en-GB"/>
        </w:rPr>
      </w:pPr>
      <w:r>
        <w:rPr>
          <w:rFonts w:cs="Calibri" w:ascii="Calibri" w:hAnsi="Calibri"/>
          <w:lang w:val="en-GB"/>
        </w:rPr>
      </w:r>
    </w:p>
    <w:p>
      <w:pPr>
        <w:pStyle w:val="Normal"/>
        <w:rPr>
          <w:rFonts w:cs="Calibri" w:ascii="Calibri" w:hAnsi="Calibri"/>
          <w:lang w:val="en-GB"/>
        </w:rPr>
      </w:pPr>
      <w:r>
        <w:rPr>
          <w:rFonts w:cs="Calibri" w:ascii="Calibri" w:hAnsi="Calibri"/>
          <w:lang w:val="en-GB"/>
        </w:rPr>
      </w:r>
    </w:p>
    <w:p>
      <w:pPr>
        <w:pStyle w:val="Normal"/>
        <w:rPr>
          <w:rFonts w:cs="Calibri" w:ascii="Calibri" w:hAnsi="Calibri"/>
          <w:lang w:val="en-GB"/>
        </w:rPr>
      </w:pPr>
      <w:r>
        <w:rPr>
          <w:rFonts w:cs="Calibri" w:ascii="Calibri" w:hAnsi="Calibri"/>
          <w:lang w:val="en-GB"/>
        </w:rPr>
      </w:r>
    </w:p>
    <w:p>
      <w:pPr>
        <w:pStyle w:val="Normal"/>
        <w:rPr>
          <w:rFonts w:cs="Calibri" w:ascii="Calibri" w:hAnsi="Calibri"/>
          <w:lang w:val="en-US"/>
        </w:rPr>
      </w:pPr>
      <w:r>
        <w:rPr>
          <w:rFonts w:cs="Calibri" w:ascii="Calibri" w:hAnsi="Calibri"/>
          <w:lang w:val="en-US"/>
        </w:rPr>
      </w:r>
    </w:p>
    <w:p>
      <w:pPr>
        <w:pStyle w:val="Normal"/>
        <w:rPr>
          <w:rFonts w:cs="Calibri" w:ascii="Calibri" w:hAnsi="Calibri"/>
          <w:lang w:val="en-US"/>
        </w:rPr>
      </w:pPr>
      <w:r>
        <w:rPr>
          <w:rFonts w:cs="Calibri" w:ascii="Calibri" w:hAnsi="Calibri"/>
          <w:lang w:val="en-US"/>
        </w:rPr>
      </w:r>
    </w:p>
    <w:p>
      <w:pPr>
        <w:pStyle w:val="Normal"/>
        <w:rPr>
          <w:rFonts w:cs="Calibri" w:ascii="Calibri" w:hAnsi="Calibri"/>
          <w:lang w:val="en-US"/>
        </w:rPr>
      </w:pPr>
      <w:r>
        <w:rPr>
          <w:rFonts w:cs="Calibri" w:ascii="Calibri" w:hAnsi="Calibri"/>
          <w:lang w:val="en-US"/>
        </w:rPr>
      </w:r>
    </w:p>
    <w:p>
      <w:pPr>
        <w:pStyle w:val="Normal"/>
        <w:rPr>
          <w:rFonts w:cs="Calibri" w:ascii="Calibri" w:hAnsi="Calibri"/>
          <w:lang w:val="en-US"/>
        </w:rPr>
      </w:pPr>
      <w:r>
        <w:rPr>
          <w:rFonts w:cs="Calibri" w:ascii="Calibri" w:hAnsi="Calibri"/>
          <w:lang w:val="en-US"/>
        </w:rPr>
      </w:r>
    </w:p>
    <w:p>
      <w:pPr>
        <w:pStyle w:val="Normal"/>
        <w:rPr>
          <w:rFonts w:cs="Calibri" w:ascii="Calibri" w:hAnsi="Calibri"/>
          <w:lang w:val="en-US"/>
        </w:rPr>
      </w:pPr>
      <w:r>
        <w:rPr>
          <w:rFonts w:cs="Calibri" w:ascii="Calibri" w:hAnsi="Calibri"/>
          <w:lang w:val="en-US"/>
        </w:rPr>
      </w:r>
    </w:p>
    <w:p>
      <w:pPr>
        <w:pStyle w:val="Normal"/>
        <w:rPr>
          <w:rFonts w:cs="Calibri" w:ascii="Calibri" w:hAnsi="Calibri"/>
          <w:lang w:val="en-US"/>
        </w:rPr>
      </w:pPr>
      <w:r>
        <w:rPr>
          <w:rFonts w:cs="Calibri" w:ascii="Calibri" w:hAnsi="Calibri"/>
          <w:lang w:val="en-US"/>
        </w:rPr>
      </w:r>
    </w:p>
    <w:p>
      <w:pPr>
        <w:pStyle w:val="Normal"/>
        <w:rPr>
          <w:rFonts w:cs="Calibri" w:ascii="Calibri" w:hAnsi="Calibri"/>
          <w:lang w:val="en-US"/>
        </w:rPr>
      </w:pPr>
      <w:r>
        <w:rPr>
          <w:rFonts w:cs="Calibri" w:ascii="Calibri" w:hAnsi="Calibri"/>
          <w:lang w:val="en-US"/>
        </w:rPr>
      </w:r>
    </w:p>
    <w:p>
      <w:pPr>
        <w:pStyle w:val="Normal"/>
        <w:rPr>
          <w:rFonts w:cs="Calibri" w:ascii="Calibri" w:hAnsi="Calibri"/>
          <w:lang w:val="en-US"/>
        </w:rPr>
      </w:pPr>
      <w:r>
        <w:rPr>
          <w:rFonts w:cs="Calibri" w:ascii="Calibri" w:hAnsi="Calibri"/>
          <w:lang w:val="en-US"/>
        </w:rPr>
      </w:r>
    </w:p>
    <w:p>
      <w:pPr>
        <w:pStyle w:val="Normal"/>
        <w:rPr>
          <w:rFonts w:cs="Calibri" w:ascii="Calibri" w:hAnsi="Calibri"/>
          <w:lang w:val="en-US"/>
        </w:rPr>
      </w:pPr>
      <w:r>
        <w:rPr>
          <w:rFonts w:cs="Calibri" w:ascii="Calibri" w:hAnsi="Calibri"/>
          <w:lang w:val="en-US"/>
        </w:rPr>
        <w:t>4) Figure 2. Trends in Tuberculosis in Manhiça District (1997-2012)</w:t>
      </w:r>
    </w:p>
    <w:p>
      <w:pPr>
        <w:pStyle w:val="Normal"/>
        <w:rPr>
          <w:rFonts w:cs="Calibri" w:ascii="Calibri" w:hAnsi="Calibri"/>
          <w:lang w:val="en-US"/>
        </w:rPr>
      </w:pPr>
      <w:r>
        <w:rPr>
          <w:rFonts w:cs="Calibri" w:ascii="Calibri" w:hAnsi="Calibri"/>
          <w:lang w:val="en-US"/>
        </w:rPr>
      </w:r>
    </w:p>
    <w:p>
      <w:pPr>
        <w:pStyle w:val="Normal"/>
        <w:rPr/>
      </w:pPr>
      <w:r>
        <w:rPr/>
        <w:drawing>
          <wp:inline distT="0" distB="0" distL="0" distR="0">
            <wp:extent cx="5400040" cy="3098165"/>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spacing w:lineRule="atLeast" w:line="400" w:before="120" w:after="120"/>
        <w:jc w:val="both"/>
        <w:rPr>
          <w:rFonts w:ascii="Calibri" w:hAnsi="Calibri"/>
          <w:sz w:val="18"/>
          <w:szCs w:val="18"/>
          <w:lang w:val="en-GB"/>
        </w:rPr>
      </w:pPr>
      <w:r>
        <w:rPr>
          <w:rFonts w:ascii="Calibri" w:hAnsi="Calibri"/>
          <w:sz w:val="18"/>
          <w:szCs w:val="18"/>
          <w:lang w:val="en-GB"/>
        </w:rPr>
        <w:t xml:space="preserve">Some variables were complementary to each other: </w:t>
      </w:r>
      <w:r>
        <w:rPr>
          <w:rFonts w:ascii="Calibri" w:hAnsi="Calibri"/>
          <w:i/>
          <w:iCs/>
          <w:sz w:val="18"/>
          <w:szCs w:val="18"/>
          <w:lang w:val="en-GB"/>
        </w:rPr>
        <w:t>pulmonary and extrapulmonary, new and retreatment</w:t>
      </w:r>
      <w:r>
        <w:rPr>
          <w:rFonts w:ascii="Calibri" w:hAnsi="Calibri"/>
          <w:sz w:val="18"/>
          <w:szCs w:val="18"/>
          <w:lang w:val="en-GB"/>
        </w:rPr>
        <w:t xml:space="preserve">. For the variable </w:t>
      </w:r>
      <w:r>
        <w:rPr>
          <w:rFonts w:ascii="Calibri" w:hAnsi="Calibri"/>
          <w:i/>
          <w:iCs/>
          <w:sz w:val="18"/>
          <w:szCs w:val="18"/>
          <w:lang w:val="en-GB"/>
        </w:rPr>
        <w:t>HIV+TB patients, Smear done</w:t>
      </w:r>
      <w:r>
        <w:rPr>
          <w:rFonts w:ascii="Calibri" w:hAnsi="Calibri"/>
          <w:sz w:val="18"/>
          <w:szCs w:val="18"/>
          <w:lang w:val="en-GB"/>
        </w:rPr>
        <w:t xml:space="preserve"> and </w:t>
      </w:r>
      <w:r>
        <w:rPr>
          <w:rFonts w:ascii="Calibri" w:hAnsi="Calibri"/>
          <w:i/>
          <w:iCs/>
          <w:sz w:val="18"/>
          <w:szCs w:val="18"/>
          <w:lang w:val="en-GB"/>
        </w:rPr>
        <w:t>Smear positive (all patients)</w:t>
      </w:r>
      <w:r>
        <w:rPr>
          <w:rFonts w:ascii="Calibri" w:hAnsi="Calibri"/>
          <w:sz w:val="18"/>
          <w:szCs w:val="18"/>
          <w:lang w:val="en-GB"/>
        </w:rPr>
        <w:t xml:space="preserve"> the denominator was all TB patients registered. For the variable </w:t>
      </w:r>
      <w:r>
        <w:rPr>
          <w:rFonts w:ascii="Calibri" w:hAnsi="Calibri"/>
          <w:i/>
          <w:iCs/>
          <w:sz w:val="18"/>
          <w:szCs w:val="18"/>
          <w:lang w:val="en-GB"/>
        </w:rPr>
        <w:t>Smear + (tested)</w:t>
      </w:r>
      <w:r>
        <w:rPr>
          <w:rFonts w:ascii="Calibri" w:hAnsi="Calibri"/>
          <w:sz w:val="18"/>
          <w:szCs w:val="18"/>
          <w:lang w:val="en-GB"/>
        </w:rPr>
        <w:t xml:space="preserve"> the denominator was smear tested patients. </w:t>
      </w:r>
    </w:p>
    <w:p>
      <w:pPr>
        <w:pStyle w:val="Normal"/>
        <w:rPr>
          <w:rFonts w:ascii="Calibri" w:hAnsi="Calibri"/>
          <w:sz w:val="18"/>
          <w:szCs w:val="18"/>
          <w:lang w:val="en-GB"/>
        </w:rPr>
      </w:pPr>
      <w:r>
        <w:rPr>
          <w:rFonts w:ascii="Calibri" w:hAnsi="Calibri"/>
          <w:sz w:val="18"/>
          <w:szCs w:val="18"/>
          <w:lang w:val="en-GB"/>
        </w:rPr>
      </w:r>
    </w:p>
    <w:p>
      <w:pPr>
        <w:pStyle w:val="Normal"/>
        <w:rPr>
          <w:rFonts w:ascii="Calibri" w:hAnsi="Calibri"/>
          <w:sz w:val="18"/>
          <w:szCs w:val="18"/>
          <w:lang w:val="en-GB"/>
        </w:rPr>
      </w:pPr>
      <w:r>
        <w:rPr>
          <w:rFonts w:ascii="Calibri" w:hAnsi="Calibri"/>
          <w:sz w:val="18"/>
          <w:szCs w:val="18"/>
          <w:lang w:val="en-GB"/>
        </w:rPr>
      </w:r>
    </w:p>
    <w:p>
      <w:pPr>
        <w:pStyle w:val="Normal"/>
        <w:rPr>
          <w:rFonts w:cs="Calibri" w:ascii="Calibri" w:hAnsi="Calibri"/>
          <w:lang w:val="en-US"/>
        </w:rPr>
      </w:pPr>
      <w:r>
        <w:rPr>
          <w:rFonts w:cs="Calibri" w:ascii="Calibri" w:hAnsi="Calibri"/>
          <w:lang w:val="en-US"/>
        </w:rPr>
        <w:t>5) Figure 3. Trends in smear results for pulmonary tuberculosis (absolute numbers and percentages)</w:t>
      </w:r>
      <w:r>
        <w:rPr>
          <w:rFonts w:cs="Calibri" w:ascii="Calibri" w:hAnsi="Calibri"/>
          <w:lang w:val="en-US"/>
        </w:rPr>
        <w:drawing>
          <wp:inline distT="0" distB="0" distL="0" distR="0">
            <wp:extent cx="4637405" cy="37084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5"/>
                    <a:stretch>
                      <a:fillRect/>
                    </a:stretch>
                  </pic:blipFill>
                  <pic:spPr bwMode="auto">
                    <a:xfrm>
                      <a:off x="0" y="0"/>
                      <a:ext cx="4637405" cy="3708400"/>
                    </a:xfrm>
                    <a:prstGeom prst="rect">
                      <a:avLst/>
                    </a:prstGeom>
                    <a:noFill/>
                    <a:ln w="9525">
                      <a:noFill/>
                      <a:miter lim="800000"/>
                      <a:headEnd/>
                      <a:tailEnd/>
                    </a:ln>
                  </pic:spPr>
                </pic:pic>
              </a:graphicData>
            </a:graphic>
          </wp:inline>
        </w:drawing>
      </w:r>
    </w:p>
    <w:p>
      <w:pPr>
        <w:pStyle w:val="Normal"/>
        <w:rPr>
          <w:rFonts w:cs="Calibri" w:ascii="Calibri" w:hAnsi="Calibri"/>
          <w:lang w:val="en-GB"/>
        </w:rPr>
      </w:pPr>
      <w:r>
        <w:rPr>
          <w:rFonts w:cs="Calibri" w:ascii="Calibri" w:hAnsi="Calibri"/>
          <w:lang w:val="en-GB"/>
        </w:rPr>
        <w:t>6) Figure 4. Proportions of different treatment outcomes for tuberculosis treatment from 1997 to 2012</w:t>
      </w:r>
      <w:r>
        <w:rPr>
          <w:rFonts w:cs="Calibri" w:ascii="Calibri" w:hAnsi="Calibri"/>
          <w:lang w:val="en-GB"/>
        </w:rPr>
        <w:drawing>
          <wp:inline distT="0" distB="0" distL="0" distR="0">
            <wp:extent cx="5504180" cy="440182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5504180" cy="4401820"/>
                    </a:xfrm>
                    <a:prstGeom prst="rect">
                      <a:avLst/>
                    </a:prstGeom>
                    <a:noFill/>
                    <a:ln w="9525">
                      <a:noFill/>
                      <a:miter lim="800000"/>
                      <a:headEnd/>
                      <a:tailEnd/>
                    </a:ln>
                  </pic:spPr>
                </pic:pic>
              </a:graphicData>
            </a:graphic>
          </wp:inline>
        </w:drawing>
      </w:r>
    </w:p>
    <w:p>
      <w:pPr>
        <w:pStyle w:val="Normal"/>
        <w:rPr>
          <w:rFonts w:cs="Calibri"/>
          <w:lang w:val="en-US" w:eastAsia="en-US"/>
        </w:rPr>
      </w:pPr>
      <w:r>
        <w:rPr>
          <w:rFonts w:cs="Calibri"/>
          <w:lang w:val="en-US" w:eastAsia="en-US"/>
        </w:rPr>
      </w:r>
    </w:p>
    <w:p>
      <w:pPr>
        <w:pStyle w:val="Normal"/>
        <w:spacing w:lineRule="atLeast" w:line="400"/>
        <w:rPr>
          <w:rFonts w:cs="Calibri"/>
          <w:lang w:val="en-US" w:eastAsia="en-US"/>
        </w:rPr>
      </w:pPr>
      <w:r>
        <w:rPr>
          <w:rFonts w:cs="Calibri"/>
          <w:lang w:val="en-US" w:eastAsia="en-US"/>
        </w:rPr>
      </w:r>
    </w:p>
    <w:p>
      <w:pPr>
        <w:pStyle w:val="Normal"/>
        <w:rPr>
          <w:rFonts w:cs="Calibri" w:ascii="Calibri" w:hAnsi="Calibri"/>
          <w:lang w:val="en-GB"/>
        </w:rPr>
      </w:pPr>
      <w:r>
        <w:rPr>
          <w:rFonts w:cs="Calibri" w:ascii="Calibri" w:hAnsi="Calibri"/>
          <w:lang w:val="en-GB"/>
        </w:rPr>
        <w:t>7) Figure 5. Treatment outcome for tuberculosis (in %) stratified by HIV status</w:t>
      </w:r>
    </w:p>
    <w:p>
      <w:pPr>
        <w:pStyle w:val="Normal"/>
        <w:rPr>
          <w:rFonts w:cs="Calibri" w:ascii="Calibri" w:hAnsi="Calibri"/>
          <w:lang w:val="en-GB"/>
        </w:rPr>
      </w:pPr>
      <w:r>
        <w:rPr>
          <w:rFonts w:cs="Calibri" w:ascii="Calibri" w:hAnsi="Calibri"/>
          <w:lang w:val="en-GB"/>
        </w:rPr>
      </w:r>
    </w:p>
    <w:p>
      <w:pPr>
        <w:pStyle w:val="Normal"/>
        <w:rPr/>
      </w:pPr>
      <w:r>
        <w:rPr/>
        <w:drawing>
          <wp:inline distT="0" distB="0" distL="0" distR="0">
            <wp:extent cx="4572000" cy="2743200"/>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Normal"/>
        <w:rPr/>
      </w:pPr>
      <w:r>
        <w:rPr/>
      </w:r>
    </w:p>
    <w:p>
      <w:pPr>
        <w:pStyle w:val="Normal"/>
        <w:widowControl w:val="false"/>
        <w:spacing w:before="120" w:after="120"/>
        <w:jc w:val="both"/>
        <w:rPr/>
      </w:pPr>
      <w:r>
        <w:rPr/>
      </w:r>
    </w:p>
    <w:sectPr>
      <w:headerReference w:type="default" r:id="rId8"/>
      <w:footerReference w:type="default" r:id="rId9"/>
      <w:type w:val="nextPage"/>
      <w:pgSz w:w="11906" w:h="16838"/>
      <w:pgMar w:left="1701" w:right="1701" w:header="708" w:top="1417" w:footer="708" w:bottom="1417"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Alberto García-Basteiro" w:date="2015-12-19T12:50:00Z" w:initials="AG">
    <w:p>
      <w:r>
        <w:rPr/>
      </w:r>
    </w:p>
  </w:comment>
  <w:comment w:id="1" w:author="Alberto García-Basteiro" w:date="2015-12-19T12:50:00Z" w:initials="AG">
    <w:p>
      <w:r>
        <w:rPr>
          <w:lang w:val="es-ES"/>
        </w:rPr>
        <w:t>La primera vez que aparece un acrónimo, especificar.</w:t>
      </w:r>
    </w:p>
  </w:comment>
  <w:comment w:id="2" w:author="Alberto García-Basteiro" w:date="2015-12-19T12:50:00Z" w:initials="AG">
    <w:p>
      <w:r>
        <w:rPr>
          <w:lang w:val="es-ES"/>
        </w:rPr>
        <w:t>Juraría que no es solo para developing countries, please revisa. Thanks!</w:t>
      </w:r>
    </w:p>
  </w:comment>
  <w:comment w:id="3" w:author="Alberto García-Basteiro" w:date="2015-12-19T12:50:00Z" w:initials="AG">
    <w:p>
      <w:r>
        <w:rPr>
          <w:lang w:val="es-ES"/>
        </w:rPr>
        <w:t>Esta frase no se entiende bien, qué quieres decir, covered by national guidelines? Un reviewer no lo entenderá. Aclarar con la información de la referencia.</w:t>
      </w:r>
    </w:p>
  </w:comment>
  <w:comment w:id="4" w:author="Alberto García-Basteiro" w:date="2015-12-19T12:50:00Z" w:initials="AG">
    <w:p>
      <w:r>
        <w:rPr>
          <w:lang w:val="es-ES"/>
        </w:rPr>
        <w:t>Citaría después de esta frase a un tal García-Basteiro et al. ERJ 2015 y Gonzalez et al HIV Medicine 2011 (encuesta de seroprevalencia de VIH)</w:t>
      </w:r>
    </w:p>
  </w:comment>
  <w:comment w:id="5" w:author="Alberto García-Basteiro" w:date="2015-12-26T14:57:00Z" w:initials="AG">
    <w:p>
      <w:r>
        <w:rPr>
          <w:lang w:val="es-ES"/>
        </w:rPr>
        <w:t>Para mí, esto debiera estar al principio después del primer párrafo de resutlados.</w:t>
      </w:r>
    </w:p>
  </w:comment>
  <w:comment w:id="6" w:author="Alberto García-Basteiro" w:date="2015-12-26T15:48:00Z" w:initials="AG">
    <w:p>
      <w:r>
        <w:rPr/>
        <w:t>Y en 2007?</w:t>
      </w:r>
    </w:p>
  </w:comment>
  <w:comment w:id="7" w:author="Alberto García-Basteiro" w:date="2015-12-26T16:33:00Z" w:initials="AG">
    <w:p>
      <w:r>
        <w:rPr>
          <w:lang w:val="es-ES"/>
        </w:rPr>
        <w:t>En la gráfica dices que son complementarios y no tienes en cuenta esta categoría ¿?</w:t>
      </w:r>
    </w:p>
  </w:comment>
  <w:comment w:id="8" w:author="Alberto García-Basteiro" w:date="2015-12-26T16:33:00Z" w:initials="AG">
    <w:p>
      <w:r>
        <w:rPr>
          <w:lang w:val="es-ES"/>
        </w:rPr>
        <w:t>Ha cambiado la proporción de treatment failure con los años? Esto podría ser un indicardor indirecto de MDR no diagnosticada.</w:t>
      </w:r>
    </w:p>
  </w:comment>
  <w:comment w:id="9" w:author="Alberto García-Basteiro" w:date="2015-12-26T17:50:00Z" w:initials="AG">
    <w:p>
      <w:r>
        <w:rPr>
          <w:lang w:val="es-ES"/>
        </w:rPr>
        <w:t>Valor p ? Es una chi cuadrado simple.</w:t>
      </w:r>
    </w:p>
  </w:comment>
  <w:comment w:id="10" w:author="Alberto García-Basteiro" w:date="2015-12-26T17:51:00Z" w:initials="AG">
    <w:p>
      <w:r>
        <w:rPr>
          <w:lang w:val="es-ES"/>
        </w:rPr>
        <w:t>Hay que poner la OR, y el intervalo de confianza y valor p.</w:t>
      </w:r>
    </w:p>
  </w:comment>
  <w:comment w:id="11" w:author="Alberto García-Basteiro" w:date="2015-12-26T18:44:00Z" w:initials="AG">
    <w:p>
      <w:r>
        <w:rPr>
          <w:lang w:val="es-ES"/>
        </w:rPr>
        <w:t>Esto no tiene nada que ver con nuestros hallazgos principales.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lang w:val="en-US"/>
      </w:rPr>
    </w:pPr>
    <w:r>
      <w:rPr>
        <w:lang w:val="en-US"/>
      </w:rPr>
      <w:t>Tuberculosis in the rise: incidence risk from 1997 to 2012 in a Southern province of Mozambique. Draft 1.0. December 2015</w:t>
    </w:r>
  </w:p>
  <w:p>
    <w:pPr>
      <w:pStyle w:val="Footer"/>
      <w:rPr>
        <w:lang w:val="en-US"/>
      </w:rPr>
    </w:pPr>
    <w:bookmarkStart w:id="0" w:name="_GoBack"/>
    <w:bookmarkStart w:id="1" w:name="_GoBack"/>
    <w:bookmarkEnd w:id="1"/>
    <w:r>
      <w:rPr>
        <w:lang w:val="en-US"/>
      </w:rPr>
    </w:r>
  </w:p>
  <w:p>
    <w:pPr>
      <w:pStyle w:val="Footer"/>
      <w:rPr>
        <w:lang w:val="en-US"/>
      </w:rPr>
    </w:pPr>
    <w:r>
      <w:rPr>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settings.xml><?xml version="1.0" encoding="utf-8"?>
<w:settings xmlns:w="http://schemas.openxmlformats.org/wordprocessingml/2006/main">
  <w:zoom w:percent="9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pt-PT"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annotation text"/>
    <w:lsdException w:qFormat="1" w:uiPriority="35" w:name="caption"/>
    <w:lsdException w:uiPriority="0" w:name="annotation reference"/>
    <w:lsdException w:unhideWhenUsed="0" w:semiHidden="0" w:qFormat="1" w:uiPriority="10" w:name="Title"/>
    <w:lsdException w:uiPriority="1" w:name="Default Paragraph Font"/>
    <w:lsdException w:unhideWhenUsed="0" w:semiHidden="0" w:qFormat="1" w:uiPriority="11" w:name="Subtitle"/>
    <w:lsdException w:uiPriority="0" w:name="Hyperlink"/>
    <w:lsdException w:unhideWhenUsed="0" w:semiHidden="0" w:qFormat="1" w:uiPriority="22" w:name="Strong"/>
    <w:lsdException w:unhideWhenUsed="0" w:semiHidden="0" w:qFormat="1" w:uiPriority="20" w:name="Emphasis"/>
    <w:lsdException w:uiPriority="0" w:name="Normal (Web)"/>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657af2"/>
    <w:pPr>
      <w:widowControl/>
      <w:suppressAutoHyphens w:val="true"/>
      <w:bidi w:val="0"/>
      <w:spacing w:lineRule="auto" w:line="240" w:before="0" w:after="0"/>
      <w:jc w:val="left"/>
    </w:pPr>
    <w:rPr>
      <w:rFonts w:ascii="Times New Roman" w:hAnsi="Times New Roman" w:eastAsia="Times New Roman" w:cs="Times New Roman"/>
      <w:color w:val="auto"/>
      <w:sz w:val="24"/>
      <w:szCs w:val="24"/>
      <w:lang w:eastAsia="pt-PT" w:val="pt-PT" w:bidi="ar-SA"/>
    </w:rPr>
  </w:style>
  <w:style w:type="character" w:styleId="DefaultParagraphFont" w:default="1">
    <w:name w:val="Default Paragraph Font"/>
    <w:uiPriority w:val="1"/>
    <w:semiHidden/>
    <w:unhideWhenUsed/>
    <w:rPr/>
  </w:style>
  <w:style w:type="character" w:styleId="Annotationreference">
    <w:name w:val="annotation reference"/>
    <w:rsid w:val="00657af2"/>
    <w:rPr>
      <w:sz w:val="16"/>
      <w:szCs w:val="16"/>
    </w:rPr>
  </w:style>
  <w:style w:type="character" w:styleId="TextodecomentrioCarcter" w:customStyle="1">
    <w:name w:val="Texto de comentário Carácter"/>
    <w:link w:val="Textodecomentrio"/>
    <w:rsid w:val="00657af2"/>
    <w:basedOn w:val="DefaultParagraphFont"/>
    <w:rPr>
      <w:rFonts w:ascii="Times New Roman" w:hAnsi="Times New Roman" w:eastAsia="Times New Roman" w:cs="Times New Roman"/>
      <w:sz w:val="20"/>
      <w:szCs w:val="20"/>
      <w:lang w:eastAsia="pt-PT"/>
    </w:rPr>
  </w:style>
  <w:style w:type="character" w:styleId="InternetLink">
    <w:name w:val="Internet Link"/>
    <w:rsid w:val="00657af2"/>
    <w:rPr>
      <w:rFonts w:cs="Times New Roman"/>
      <w:color w:val="0000FF"/>
      <w:u w:val="single"/>
      <w:lang w:val="zxx" w:eastAsia="zxx" w:bidi="zxx"/>
    </w:rPr>
  </w:style>
  <w:style w:type="character" w:styleId="TextodebaloCarcter" w:customStyle="1">
    <w:name w:val="Texto de balão Carácter"/>
    <w:uiPriority w:val="99"/>
    <w:semiHidden/>
    <w:link w:val="Textodebalo"/>
    <w:rsid w:val="00657af2"/>
    <w:basedOn w:val="DefaultParagraphFont"/>
    <w:rPr>
      <w:rFonts w:ascii="Tahoma" w:hAnsi="Tahoma" w:eastAsia="Times New Roman" w:cs="Tahoma"/>
      <w:sz w:val="16"/>
      <w:szCs w:val="16"/>
      <w:lang w:eastAsia="pt-PT"/>
    </w:rPr>
  </w:style>
  <w:style w:type="character" w:styleId="AssuntodecomentrioCarcter" w:customStyle="1">
    <w:name w:val="Assunto de comentário Carácter"/>
    <w:uiPriority w:val="99"/>
    <w:semiHidden/>
    <w:link w:val="Assuntodecomentrio"/>
    <w:rsid w:val="00195859"/>
    <w:basedOn w:val="TextodecomentrioCarcter"/>
    <w:rPr>
      <w:rFonts w:ascii="Times New Roman" w:hAnsi="Times New Roman" w:eastAsia="Times New Roman" w:cs="Times New Roman"/>
      <w:b/>
      <w:bCs/>
      <w:sz w:val="20"/>
      <w:szCs w:val="20"/>
      <w:lang w:eastAsia="pt-PT"/>
    </w:rPr>
  </w:style>
  <w:style w:type="character" w:styleId="Linenumber">
    <w:name w:val="line number"/>
    <w:uiPriority w:val="99"/>
    <w:semiHidden/>
    <w:unhideWhenUsed/>
    <w:rsid w:val="0061351e"/>
    <w:basedOn w:val="DefaultParagraphFont"/>
    <w:rPr/>
  </w:style>
  <w:style w:type="character" w:styleId="CabealhoCarcter" w:customStyle="1">
    <w:name w:val="Cabeçalho Carácter"/>
    <w:uiPriority w:val="99"/>
    <w:link w:val="Cabealho"/>
    <w:rsid w:val="006650e6"/>
    <w:basedOn w:val="DefaultParagraphFont"/>
    <w:rPr>
      <w:rFonts w:ascii="Times New Roman" w:hAnsi="Times New Roman" w:eastAsia="Times New Roman" w:cs="Times New Roman"/>
      <w:sz w:val="24"/>
      <w:szCs w:val="24"/>
      <w:lang w:eastAsia="pt-PT"/>
    </w:rPr>
  </w:style>
  <w:style w:type="character" w:styleId="RodapCarcter" w:customStyle="1">
    <w:name w:val="Rodapé Carácter"/>
    <w:uiPriority w:val="99"/>
    <w:link w:val="Rodap"/>
    <w:rsid w:val="006650e6"/>
    <w:basedOn w:val="DefaultParagraphFont"/>
    <w:rPr>
      <w:rFonts w:ascii="Times New Roman" w:hAnsi="Times New Roman" w:eastAsia="Times New Roman" w:cs="Times New Roman"/>
      <w:sz w:val="24"/>
      <w:szCs w:val="24"/>
      <w:lang w:eastAsia="pt-PT"/>
    </w:rPr>
  </w:style>
  <w:style w:type="character" w:styleId="ListLabel1">
    <w:name w:val="ListLabel 1"/>
    <w:rPr>
      <w:lang w:val="en-GB"/>
    </w:rPr>
  </w:style>
  <w:style w:type="character" w:styleId="ListLabel2">
    <w:name w:val="ListLabel 2"/>
    <w:rPr>
      <w:rFonts w:eastAsia="MingLiU" w:cs="Aria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Annotationtext">
    <w:name w:val="annotation text"/>
    <w:link w:val="TextodecomentrioCarcter"/>
    <w:rsid w:val="00657af2"/>
    <w:basedOn w:val="Normal"/>
    <w:pPr/>
    <w:rPr>
      <w:sz w:val="20"/>
      <w:szCs w:val="20"/>
    </w:rPr>
  </w:style>
  <w:style w:type="paragraph" w:styleId="NormalWeb">
    <w:name w:val="Normal (Web)"/>
    <w:rsid w:val="00657af2"/>
    <w:basedOn w:val="Normal"/>
    <w:pPr>
      <w:spacing w:before="0" w:after="280"/>
    </w:pPr>
    <w:rPr>
      <w:lang w:bidi="th-TH"/>
    </w:rPr>
  </w:style>
  <w:style w:type="paragraph" w:styleId="BalloonText">
    <w:name w:val="Balloon Text"/>
    <w:uiPriority w:val="99"/>
    <w:semiHidden/>
    <w:unhideWhenUsed/>
    <w:link w:val="TextodebaloCarcter"/>
    <w:rsid w:val="00657af2"/>
    <w:basedOn w:val="Normal"/>
    <w:pPr/>
    <w:rPr>
      <w:rFonts w:ascii="Tahoma" w:hAnsi="Tahoma" w:cs="Tahoma"/>
      <w:sz w:val="16"/>
      <w:szCs w:val="16"/>
    </w:rPr>
  </w:style>
  <w:style w:type="paragraph" w:styleId="ListParagraph">
    <w:name w:val="List Paragraph"/>
    <w:uiPriority w:val="34"/>
    <w:qFormat/>
    <w:rsid w:val="008e283a"/>
    <w:basedOn w:val="Normal"/>
    <w:pPr>
      <w:spacing w:before="0" w:after="0"/>
      <w:ind w:left="720" w:right="0" w:hanging="0"/>
      <w:contextualSpacing/>
    </w:pPr>
    <w:rPr/>
  </w:style>
  <w:style w:type="paragraph" w:styleId="Annotationsubject">
    <w:name w:val="annotation subject"/>
    <w:uiPriority w:val="99"/>
    <w:semiHidden/>
    <w:unhideWhenUsed/>
    <w:link w:val="AssuntodecomentrioCarcter"/>
    <w:rsid w:val="00195859"/>
    <w:basedOn w:val="Annotationtext"/>
    <w:pPr/>
    <w:rPr>
      <w:b/>
      <w:bCs/>
    </w:rPr>
  </w:style>
  <w:style w:type="paragraph" w:styleId="Revision">
    <w:name w:val="Revision"/>
    <w:uiPriority w:val="99"/>
    <w:semiHidden/>
    <w:rsid w:val="00195859"/>
    <w:pPr>
      <w:widowControl/>
      <w:suppressAutoHyphens w:val="true"/>
      <w:bidi w:val="0"/>
      <w:spacing w:lineRule="auto" w:line="240" w:before="0" w:after="0"/>
      <w:jc w:val="left"/>
    </w:pPr>
    <w:rPr>
      <w:rFonts w:ascii="Times New Roman" w:hAnsi="Times New Roman" w:eastAsia="Times New Roman" w:cs="Times New Roman"/>
      <w:color w:val="auto"/>
      <w:sz w:val="24"/>
      <w:szCs w:val="24"/>
      <w:lang w:eastAsia="pt-PT" w:val="pt-PT" w:bidi="ar-SA"/>
    </w:rPr>
  </w:style>
  <w:style w:type="paragraph" w:styleId="Header">
    <w:name w:val="Header"/>
    <w:uiPriority w:val="99"/>
    <w:unhideWhenUsed/>
    <w:link w:val="CabealhoCarcter"/>
    <w:rsid w:val="006650e6"/>
    <w:basedOn w:val="Normal"/>
    <w:pPr>
      <w:tabs>
        <w:tab w:val="center" w:pos="4252" w:leader="none"/>
        <w:tab w:val="right" w:pos="8504" w:leader="none"/>
      </w:tabs>
    </w:pPr>
    <w:rPr/>
  </w:style>
  <w:style w:type="paragraph" w:styleId="Footer">
    <w:name w:val="Footer"/>
    <w:uiPriority w:val="99"/>
    <w:unhideWhenUsed/>
    <w:link w:val="RodapCarcter"/>
    <w:rsid w:val="006650e6"/>
    <w:basedOn w:val="Normal"/>
    <w:pPr>
      <w:tabs>
        <w:tab w:val="center" w:pos="4252" w:leader="none"/>
        <w:tab w:val="right" w:pos="8504" w:leader="none"/>
      </w:tabs>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penclinica.org/" TargetMode="External"/><Relationship Id="rId3" Type="http://schemas.openxmlformats.org/officeDocument/2006/relationships/chart" Target="charts/chart1.xml"/><Relationship Id="rId4" Type="http://schemas.openxmlformats.org/officeDocument/2006/relationships/chart" Target="charts/chart2.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chart" Target="charts/chart3.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comments" Target="comments.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chart>
    <c:plotArea>
      <c:layout/>
      <c:lineChart>
        <c:grouping val="standard"/>
        <c:ser>
          <c:idx val="0"/>
          <c:order val="0"/>
          <c:tx>
            <c:strRef>
              <c:f>label 0</c:f>
              <c:strCache>
                <c:ptCount val="1"/>
                <c:pt idx="0">
                  <c:v>total men</c:v>
                </c:pt>
              </c:strCache>
            </c:strRef>
          </c:tx>
          <c:spPr>
            <a:solidFill>
              <a:srgbClr val="4a7ebb"/>
            </a:solidFill>
            <a:ln w="28440">
              <a:solidFill>
                <a:srgbClr val="4a7ebb"/>
              </a:solidFill>
              <a:round/>
            </a:ln>
          </c:spPr>
          <c:marker>
            <c:symbol val="none"/>
          </c:marker>
          <c:dLbls>
            <c:dLbl>
              <c:idx val="0"/>
              <c:dLblPos/>
              <c:showLegendKey val="0"/>
              <c:showVal val="1"/>
              <c:showCatName val="0"/>
              <c:showSerName val="0"/>
              <c:showPercent val="0"/>
              <c:separator>; </c:separator>
            </c:dLbl>
            <c:dLbl>
              <c:idx val="1"/>
              <c:dLblPos val="t"/>
              <c:showLegendKey val="0"/>
              <c:showVal val="1"/>
              <c:showCatName val="0"/>
              <c:showSerName val="0"/>
              <c:showPercent val="0"/>
              <c:separator>; </c:separator>
            </c:dLbl>
            <c:dLbl>
              <c:idx val="2"/>
              <c:dLblPos val="t"/>
              <c:showLegendKey val="0"/>
              <c:showVal val="1"/>
              <c:showCatName val="0"/>
              <c:showSerName val="0"/>
              <c:showPercent val="0"/>
              <c:separator>; </c:separator>
            </c:dLbl>
            <c:dLbl>
              <c:idx val="3"/>
              <c:dLblPos val="r"/>
              <c:showLegendKey val="0"/>
              <c:showVal val="1"/>
              <c:showCatName val="0"/>
              <c:showSerName val="0"/>
              <c:showPercent val="0"/>
              <c:separator>; </c:separator>
            </c:dLbl>
            <c:dLbl>
              <c:idx val="4"/>
              <c:dLblPos val="r"/>
              <c:showLegendKey val="0"/>
              <c:showVal val="1"/>
              <c:showCatName val="0"/>
              <c:showSerName val="0"/>
              <c:showPercent val="0"/>
              <c:separator>; </c:separator>
            </c:dLbl>
            <c:dLbl>
              <c:idx val="5"/>
              <c:dLblPos val="r"/>
              <c:showLegendKey val="0"/>
              <c:showVal val="1"/>
              <c:showCatName val="0"/>
              <c:showSerName val="0"/>
              <c:showPercent val="0"/>
              <c:separator>; </c:separator>
            </c:dLbl>
            <c:dLbl>
              <c:idx val="6"/>
              <c:dLblPos/>
              <c:showLegendKey val="0"/>
              <c:showVal val="1"/>
              <c:showCatName val="0"/>
              <c:showSerName val="0"/>
              <c:showPercent val="0"/>
              <c:separator>; </c:separator>
            </c:dLbl>
            <c:dLbl>
              <c:idx val="7"/>
              <c:dLblPos val="r"/>
              <c:showLegendKey val="0"/>
              <c:showVal val="1"/>
              <c:showCatName val="0"/>
              <c:showSerName val="0"/>
              <c:showPercent val="0"/>
              <c:separator>; </c:separator>
            </c:dLbl>
            <c:dLbl>
              <c:idx val="8"/>
              <c:dLblPos val="r"/>
              <c:showLegendKey val="0"/>
              <c:showVal val="1"/>
              <c:showCatName val="0"/>
              <c:showSerName val="0"/>
              <c:showPercent val="0"/>
              <c:separator>; </c:separator>
            </c:dLbl>
            <c:dLbl>
              <c:idx val="9"/>
              <c:dLblPos/>
              <c:showLegendKey val="0"/>
              <c:showVal val="1"/>
              <c:showCatName val="0"/>
              <c:showSerName val="0"/>
              <c:showPercent val="0"/>
              <c:separator>; </c:separator>
            </c:dLbl>
            <c:dLbl>
              <c:idx val="10"/>
              <c:dLblPos val="t"/>
              <c:showLegendKey val="0"/>
              <c:showVal val="1"/>
              <c:showCatName val="0"/>
              <c:showSerName val="0"/>
              <c:showPercent val="0"/>
              <c:separator>; </c:separator>
            </c:dLbl>
            <c:dLbl>
              <c:idx val="11"/>
              <c:dLblPos val="r"/>
              <c:showLegendKey val="0"/>
              <c:showVal val="1"/>
              <c:showCatName val="0"/>
              <c:showSerName val="0"/>
              <c:showPercent val="0"/>
              <c:separator>; </c:separator>
            </c:dLbl>
            <c:dLbl>
              <c:idx val="12"/>
              <c:dLblPos val="r"/>
              <c:showLegendKey val="0"/>
              <c:showVal val="1"/>
              <c:showCatName val="0"/>
              <c:showSerName val="0"/>
              <c:showPercent val="0"/>
              <c:separator>; </c:separator>
            </c:dLbl>
            <c:dLbl>
              <c:idx val="13"/>
              <c:dLblPos val="r"/>
              <c:showLegendKey val="0"/>
              <c:showVal val="1"/>
              <c:showCatName val="0"/>
              <c:showSerName val="0"/>
              <c:showPercent val="0"/>
              <c:separator>; </c:separator>
            </c:dLbl>
            <c:dLbl>
              <c:idx val="14"/>
              <c:dLblPos val="r"/>
              <c:showLegendKey val="0"/>
              <c:showVal val="1"/>
              <c:showCatName val="0"/>
              <c:showSerName val="0"/>
              <c:showPercent val="0"/>
              <c:separator>; </c:separator>
            </c:dLbl>
            <c:dLbl>
              <c:idx val="15"/>
              <c:dLblPos/>
              <c:showLegendKey val="0"/>
              <c:showVal val="1"/>
              <c:showCatName val="0"/>
              <c:showSerName val="0"/>
              <c:showPercent val="0"/>
              <c:separator>; </c:separator>
            </c:dLbl>
            <c:showLegendKey val="0"/>
            <c:showVal val="1"/>
            <c:showCatName val="0"/>
            <c:showSerName val="0"/>
            <c:showPercent val="0"/>
          </c:dLbls>
          <c:cat>
            <c:strRef>
              <c:f>categories</c:f>
              <c:strCache>
                <c:ptCount val="16"/>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strCache>
            </c:strRef>
          </c:cat>
          <c:val>
            <c:numRef>
              <c:f>0</c:f>
              <c:numCache>
                <c:formatCode>General</c:formatCode>
                <c:ptCount val="16"/>
                <c:pt idx="0">
                  <c:v>185.881919856837</c:v>
                </c:pt>
                <c:pt idx="1">
                  <c:v>316.304854413455</c:v>
                </c:pt>
                <c:pt idx="2">
                  <c:v>317.911408635617</c:v>
                </c:pt>
                <c:pt idx="3">
                  <c:v>314.685445230698</c:v>
                </c:pt>
                <c:pt idx="4">
                  <c:v>278.818191044196</c:v>
                </c:pt>
                <c:pt idx="5">
                  <c:v>378.949741857104</c:v>
                </c:pt>
                <c:pt idx="6">
                  <c:v>522.534732312237</c:v>
                </c:pt>
                <c:pt idx="7">
                  <c:v>491.987713130631</c:v>
                </c:pt>
                <c:pt idx="8">
                  <c:v>515.489188297241</c:v>
                </c:pt>
                <c:pt idx="9">
                  <c:v>570.167106866117</c:v>
                </c:pt>
                <c:pt idx="10">
                  <c:v>563.767725858872</c:v>
                </c:pt>
                <c:pt idx="11">
                  <c:v>557.85492537338</c:v>
                </c:pt>
                <c:pt idx="12">
                  <c:v>658.006883905291</c:v>
                </c:pt>
                <c:pt idx="13">
                  <c:v>765.71638076653</c:v>
                </c:pt>
                <c:pt idx="14">
                  <c:v>822.286170461002</c:v>
                </c:pt>
                <c:pt idx="15">
                  <c:v>917.380989127368</c:v>
                </c:pt>
              </c:numCache>
            </c:numRef>
          </c:val>
        </c:ser>
        <c:ser>
          <c:idx val="1"/>
          <c:order val="1"/>
          <c:tx>
            <c:strRef>
              <c:f>label 1</c:f>
              <c:strCache>
                <c:ptCount val="1"/>
                <c:pt idx="0">
                  <c:v>total women</c:v>
                </c:pt>
              </c:strCache>
            </c:strRef>
          </c:tx>
          <c:spPr>
            <a:solidFill>
              <a:srgbClr val="be4b48"/>
            </a:solidFill>
            <a:ln w="28440">
              <a:solidFill>
                <a:srgbClr val="be4b48"/>
              </a:solidFill>
              <a:round/>
            </a:ln>
          </c:spPr>
          <c:marker>
            <c:symbol val="none"/>
          </c:marker>
          <c:dLbls>
            <c:dLbl>
              <c:idx val="0"/>
              <c:dLblPos val="r"/>
              <c:showLegendKey val="0"/>
              <c:showVal val="1"/>
              <c:showCatName val="0"/>
              <c:showSerName val="0"/>
              <c:showPercent val="0"/>
              <c:separator>; </c:separator>
            </c:dLbl>
            <c:dLbl>
              <c:idx val="1"/>
              <c:dLblPos val="t"/>
              <c:showLegendKey val="0"/>
              <c:showVal val="1"/>
              <c:showCatName val="0"/>
              <c:showSerName val="0"/>
              <c:showPercent val="0"/>
              <c:separator>; </c:separator>
            </c:dLbl>
            <c:dLbl>
              <c:idx val="2"/>
              <c:dLblPos val="b"/>
              <c:showLegendKey val="0"/>
              <c:showVal val="1"/>
              <c:showCatName val="0"/>
              <c:showSerName val="0"/>
              <c:showPercent val="0"/>
              <c:separator>; </c:separator>
            </c:dLbl>
            <c:dLbl>
              <c:idx val="3"/>
              <c:dLblPos val="r"/>
              <c:showLegendKey val="0"/>
              <c:showVal val="1"/>
              <c:showCatName val="0"/>
              <c:showSerName val="0"/>
              <c:showPercent val="0"/>
              <c:separator>; </c:separator>
            </c:dLbl>
            <c:dLbl>
              <c:idx val="4"/>
              <c:dLblPos val="r"/>
              <c:showLegendKey val="0"/>
              <c:showVal val="1"/>
              <c:showCatName val="0"/>
              <c:showSerName val="0"/>
              <c:showPercent val="0"/>
              <c:separator>; </c:separator>
            </c:dLbl>
            <c:dLbl>
              <c:idx val="5"/>
              <c:dLblPos val="r"/>
              <c:showLegendKey val="0"/>
              <c:showVal val="1"/>
              <c:showCatName val="0"/>
              <c:showSerName val="0"/>
              <c:showPercent val="0"/>
              <c:separator>; </c:separator>
            </c:dLbl>
            <c:dLbl>
              <c:idx val="6"/>
              <c:dLblPos val="r"/>
              <c:showLegendKey val="0"/>
              <c:showVal val="1"/>
              <c:showCatName val="0"/>
              <c:showSerName val="0"/>
              <c:showPercent val="0"/>
              <c:separator>; </c:separator>
            </c:dLbl>
            <c:dLbl>
              <c:idx val="7"/>
              <c:dLblPos val="r"/>
              <c:showLegendKey val="0"/>
              <c:showVal val="1"/>
              <c:showCatName val="0"/>
              <c:showSerName val="0"/>
              <c:showPercent val="0"/>
              <c:separator>; </c:separator>
            </c:dLbl>
            <c:dLbl>
              <c:idx val="8"/>
              <c:dLblPos val="r"/>
              <c:showLegendKey val="0"/>
              <c:showVal val="1"/>
              <c:showCatName val="0"/>
              <c:showSerName val="0"/>
              <c:showPercent val="0"/>
              <c:separator>; </c:separator>
            </c:dLbl>
            <c:dLbl>
              <c:idx val="9"/>
              <c:dLblPos val="r"/>
              <c:showLegendKey val="0"/>
              <c:showVal val="1"/>
              <c:showCatName val="0"/>
              <c:showSerName val="0"/>
              <c:showPercent val="0"/>
              <c:separator>; </c:separator>
            </c:dLbl>
            <c:dLbl>
              <c:idx val="10"/>
              <c:dLblPos val="r"/>
              <c:showLegendKey val="0"/>
              <c:showVal val="1"/>
              <c:showCatName val="0"/>
              <c:showSerName val="0"/>
              <c:showPercent val="0"/>
              <c:separator>; </c:separator>
            </c:dLbl>
            <c:dLbl>
              <c:idx val="11"/>
              <c:dLblPos val="r"/>
              <c:showLegendKey val="0"/>
              <c:showVal val="1"/>
              <c:showCatName val="0"/>
              <c:showSerName val="0"/>
              <c:showPercent val="0"/>
              <c:separator>; </c:separator>
            </c:dLbl>
            <c:dLbl>
              <c:idx val="12"/>
              <c:dLblPos val="r"/>
              <c:showLegendKey val="0"/>
              <c:showVal val="1"/>
              <c:showCatName val="0"/>
              <c:showSerName val="0"/>
              <c:showPercent val="0"/>
              <c:separator>; </c:separator>
            </c:dLbl>
            <c:dLbl>
              <c:idx val="13"/>
              <c:dLblPos val="b"/>
              <c:showLegendKey val="0"/>
              <c:showVal val="1"/>
              <c:showCatName val="0"/>
              <c:showSerName val="0"/>
              <c:showPercent val="0"/>
              <c:separator>; </c:separator>
            </c:dLbl>
            <c:dLbl>
              <c:idx val="14"/>
              <c:dLblPos val="b"/>
              <c:showLegendKey val="0"/>
              <c:showVal val="1"/>
              <c:showCatName val="0"/>
              <c:showSerName val="0"/>
              <c:showPercent val="0"/>
              <c:separator>; </c:separator>
            </c:dLbl>
            <c:dLbl>
              <c:idx val="15"/>
              <c:dLblPos/>
              <c:showLegendKey val="0"/>
              <c:showVal val="1"/>
              <c:showCatName val="0"/>
              <c:showSerName val="0"/>
              <c:showPercent val="0"/>
              <c:separator>; </c:separator>
            </c:dLbl>
            <c:showLegendKey val="0"/>
            <c:showVal val="1"/>
            <c:showCatName val="0"/>
            <c:showSerName val="0"/>
            <c:showPercent val="0"/>
          </c:dLbls>
          <c:cat>
            <c:strRef>
              <c:f>categories</c:f>
              <c:strCache>
                <c:ptCount val="16"/>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strCache>
            </c:strRef>
          </c:cat>
          <c:val>
            <c:numRef>
              <c:f>1</c:f>
              <c:numCache>
                <c:formatCode>General</c:formatCode>
                <c:ptCount val="16"/>
                <c:pt idx="0">
                  <c:v>129.555642389873</c:v>
                </c:pt>
                <c:pt idx="1">
                  <c:v>173.526340208457</c:v>
                </c:pt>
                <c:pt idx="2">
                  <c:v>172.162122556067</c:v>
                </c:pt>
                <c:pt idx="3">
                  <c:v>172.167365981787</c:v>
                </c:pt>
                <c:pt idx="4">
                  <c:v>190.344654156274</c:v>
                </c:pt>
                <c:pt idx="5">
                  <c:v>221.172713328654</c:v>
                </c:pt>
                <c:pt idx="6">
                  <c:v>265.75382561169</c:v>
                </c:pt>
                <c:pt idx="7">
                  <c:v>289.658669987309</c:v>
                </c:pt>
                <c:pt idx="8">
                  <c:v>326.156220349058</c:v>
                </c:pt>
                <c:pt idx="9">
                  <c:v>396.551777969641</c:v>
                </c:pt>
                <c:pt idx="10">
                  <c:v>318.673723010842</c:v>
                </c:pt>
                <c:pt idx="11">
                  <c:v>331.596343796998</c:v>
                </c:pt>
                <c:pt idx="12">
                  <c:v>442.118025119464</c:v>
                </c:pt>
                <c:pt idx="13">
                  <c:v>511.469686333686</c:v>
                </c:pt>
                <c:pt idx="14">
                  <c:v>522.379885864968</c:v>
                </c:pt>
                <c:pt idx="15">
                  <c:v>534.697735758959</c:v>
                </c:pt>
              </c:numCache>
            </c:numRef>
          </c:val>
        </c:ser>
        <c:marker val="0"/>
        <c:axId val="52976301"/>
        <c:axId val="26335413"/>
      </c:lineChart>
      <c:catAx>
        <c:axId val="52976301"/>
        <c:scaling>
          <c:orientation val="minMax"/>
        </c:scaling>
        <c:delete val="0"/>
        <c:axPos val="b"/>
        <c:majorTickMark val="out"/>
        <c:minorTickMark val="none"/>
        <c:tickLblPos val="nextTo"/>
        <c:spPr>
          <a:ln w="9360">
            <a:solidFill>
              <a:srgbClr val="878787"/>
            </a:solidFill>
            <a:round/>
          </a:ln>
        </c:spPr>
        <c:crossAx val="26335413"/>
        <c:crossesAt val="0"/>
        <c:auto val="1"/>
        <c:lblAlgn val="ctr"/>
        <c:lblOffset val="100"/>
      </c:catAx>
      <c:valAx>
        <c:axId val="26335413"/>
        <c:scaling>
          <c:orientation val="minMax"/>
        </c:scaling>
        <c:delete val="0"/>
        <c:axPos val="l"/>
        <c:majorGridlines>
          <c:spPr>
            <a:ln w="9360">
              <a:solidFill>
                <a:srgbClr val="878787"/>
              </a:solidFill>
              <a:round/>
            </a:ln>
          </c:spPr>
        </c:majorGridlines>
        <c:majorTickMark val="out"/>
        <c:minorTickMark val="none"/>
        <c:tickLblPos val="nextTo"/>
        <c:spPr>
          <a:ln w="9360">
            <a:solidFill>
              <a:srgbClr val="878787"/>
            </a:solidFill>
            <a:round/>
          </a:ln>
        </c:spPr>
        <c:crossAx val="52976301"/>
        <c:crossesAt val="0"/>
      </c:valAx>
      <c:spPr>
        <a:solidFill>
          <a:srgbClr val="f2f2f2"/>
        </a:solidFill>
        <a:ln>
          <a:noFill/>
        </a:ln>
      </c:spPr>
    </c:plotArea>
    <c:legend>
      <c:legendPos val="r"/>
      <c:overlay val="0"/>
      <c:spPr>
        <a:noFill/>
        <a:ln>
          <a:noFill/>
        </a:ln>
      </c:spPr>
    </c:legend>
    <c:plotVisOnly val="1"/>
  </c:chart>
  <c:spPr>
    <a:no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chart>
    <c:plotArea>
      <c:layout/>
      <c:lineChart>
        <c:grouping val="standard"/>
        <c:ser>
          <c:idx val="0"/>
          <c:order val="0"/>
          <c:tx>
            <c:strRef>
              <c:f>label 0</c:f>
              <c:strCache>
                <c:ptCount val="1"/>
                <c:pt idx="0">
                  <c:v>PulmTB</c:v>
                </c:pt>
              </c:strCache>
            </c:strRef>
          </c:tx>
          <c:spPr>
            <a:solidFill>
              <a:srgbClr val="426fa6"/>
            </a:solidFill>
            <a:ln w="28440">
              <a:solidFill>
                <a:srgbClr val="426fa6"/>
              </a:solidFill>
              <a:custDash/>
              <a:round/>
            </a:ln>
          </c:spPr>
          <c:marker>
            <c:symbol val="none"/>
          </c:marker>
          <c:dLbls>
            <c:showLegendKey val="0"/>
            <c:showVal val="0"/>
            <c:showCatName val="0"/>
            <c:showSerName val="0"/>
            <c:showPercent val="0"/>
          </c:dLbls>
          <c:cat>
            <c:strRef>
              <c:f>categories</c:f>
              <c:strCache>
                <c:ptCount val="16"/>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strCache>
            </c:strRef>
          </c:cat>
          <c:val>
            <c:numRef>
              <c:f>0</c:f>
              <c:numCache>
                <c:formatCode>General</c:formatCode>
                <c:ptCount val="16"/>
                <c:pt idx="0">
                  <c:v>0.817142857142857</c:v>
                </c:pt>
                <c:pt idx="1">
                  <c:v>0.868243243243243</c:v>
                </c:pt>
                <c:pt idx="2">
                  <c:v>0.881679389312977</c:v>
                </c:pt>
                <c:pt idx="3">
                  <c:v>0.885608856088561</c:v>
                </c:pt>
                <c:pt idx="4">
                  <c:v>0.833333333333333</c:v>
                </c:pt>
                <c:pt idx="5">
                  <c:v>0.895674300254453</c:v>
                </c:pt>
                <c:pt idx="6">
                  <c:v>0.875706214689265</c:v>
                </c:pt>
                <c:pt idx="7">
                  <c:v>0.863551401869159</c:v>
                </c:pt>
                <c:pt idx="8">
                  <c:v>0.854280510018215</c:v>
                </c:pt>
                <c:pt idx="9">
                  <c:v>0.835796387520526</c:v>
                </c:pt>
                <c:pt idx="10">
                  <c:v>0.855787476280835</c:v>
                </c:pt>
                <c:pt idx="11">
                  <c:v>0.793103448275862</c:v>
                </c:pt>
                <c:pt idx="12">
                  <c:v>0.796348314606742</c:v>
                </c:pt>
                <c:pt idx="13">
                  <c:v>0.820422535211268</c:v>
                </c:pt>
                <c:pt idx="14">
                  <c:v>0.819428571428571</c:v>
                </c:pt>
                <c:pt idx="15">
                  <c:v>0.829571106094808</c:v>
                </c:pt>
              </c:numCache>
            </c:numRef>
          </c:val>
        </c:ser>
        <c:ser>
          <c:idx val="1"/>
          <c:order val="1"/>
          <c:tx>
            <c:strRef>
              <c:f>label 1</c:f>
              <c:strCache>
                <c:ptCount val="1"/>
                <c:pt idx="0">
                  <c:v>EPTB</c:v>
                </c:pt>
              </c:strCache>
            </c:strRef>
          </c:tx>
          <c:spPr>
            <a:solidFill>
              <a:srgbClr val="aa433f"/>
            </a:solidFill>
            <a:ln w="28440">
              <a:solidFill>
                <a:srgbClr val="aa433f"/>
              </a:solidFill>
              <a:custDash/>
              <a:round/>
            </a:ln>
          </c:spPr>
          <c:marker>
            <c:symbol val="none"/>
          </c:marker>
          <c:dLbls>
            <c:showLegendKey val="0"/>
            <c:showVal val="0"/>
            <c:showCatName val="0"/>
            <c:showSerName val="0"/>
            <c:showPercent val="0"/>
          </c:dLbls>
          <c:cat>
            <c:strRef>
              <c:f>categories</c:f>
              <c:strCache>
                <c:ptCount val="16"/>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strCache>
            </c:strRef>
          </c:cat>
          <c:val>
            <c:numRef>
              <c:f>1</c:f>
              <c:numCache>
                <c:formatCode>General</c:formatCode>
                <c:ptCount val="16"/>
                <c:pt idx="0">
                  <c:v>0.182857142857143</c:v>
                </c:pt>
                <c:pt idx="1">
                  <c:v>0.131756756756757</c:v>
                </c:pt>
                <c:pt idx="2">
                  <c:v>0.118320610687023</c:v>
                </c:pt>
                <c:pt idx="3">
                  <c:v>0.114391143911439</c:v>
                </c:pt>
                <c:pt idx="4">
                  <c:v>0.166666666666667</c:v>
                </c:pt>
                <c:pt idx="5">
                  <c:v>0.104325699745547</c:v>
                </c:pt>
                <c:pt idx="6">
                  <c:v>0.124293785310734</c:v>
                </c:pt>
                <c:pt idx="7">
                  <c:v>0.136448598130841</c:v>
                </c:pt>
                <c:pt idx="8">
                  <c:v>0.145719489981785</c:v>
                </c:pt>
                <c:pt idx="9">
                  <c:v>0.164203612479475</c:v>
                </c:pt>
                <c:pt idx="10">
                  <c:v>0.144212523719165</c:v>
                </c:pt>
                <c:pt idx="11">
                  <c:v>0.206896551724138</c:v>
                </c:pt>
                <c:pt idx="12">
                  <c:v>0.203651685393258</c:v>
                </c:pt>
                <c:pt idx="13">
                  <c:v>0.179577464788732</c:v>
                </c:pt>
                <c:pt idx="14">
                  <c:v>0.180571428571429</c:v>
                </c:pt>
                <c:pt idx="15">
                  <c:v>0.170428893905192</c:v>
                </c:pt>
              </c:numCache>
            </c:numRef>
          </c:val>
        </c:ser>
        <c:ser>
          <c:idx val="2"/>
          <c:order val="2"/>
          <c:tx>
            <c:strRef>
              <c:f>label 2</c:f>
              <c:strCache>
                <c:ptCount val="1"/>
                <c:pt idx="0">
                  <c:v>Smear + (all patients)</c:v>
                </c:pt>
              </c:strCache>
            </c:strRef>
          </c:tx>
          <c:spPr>
            <a:solidFill>
              <a:srgbClr val="92d050"/>
            </a:solidFill>
            <a:ln w="28440">
              <a:solidFill>
                <a:srgbClr val="92d050"/>
              </a:solidFill>
              <a:round/>
            </a:ln>
          </c:spPr>
          <c:marker>
            <c:symbol val="none"/>
          </c:marker>
          <c:dLbls>
            <c:showLegendKey val="0"/>
            <c:showVal val="0"/>
            <c:showCatName val="0"/>
            <c:showSerName val="0"/>
            <c:showPercent val="0"/>
          </c:dLbls>
          <c:cat>
            <c:strRef>
              <c:f>categories</c:f>
              <c:strCache>
                <c:ptCount val="16"/>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strCache>
            </c:strRef>
          </c:cat>
          <c:val>
            <c:numRef>
              <c:f>2</c:f>
              <c:numCache>
                <c:formatCode>General</c:formatCode>
                <c:ptCount val="16"/>
                <c:pt idx="0">
                  <c:v>0.577981651376147</c:v>
                </c:pt>
                <c:pt idx="1">
                  <c:v>0.56056338028169</c:v>
                </c:pt>
                <c:pt idx="2">
                  <c:v>0.558139534883721</c:v>
                </c:pt>
                <c:pt idx="3">
                  <c:v>0.620178041543027</c:v>
                </c:pt>
                <c:pt idx="4">
                  <c:v>0.648484848484849</c:v>
                </c:pt>
                <c:pt idx="5">
                  <c:v>0.667396061269147</c:v>
                </c:pt>
                <c:pt idx="6">
                  <c:v>0.682675814751287</c:v>
                </c:pt>
                <c:pt idx="7">
                  <c:v>0.683587140439932</c:v>
                </c:pt>
                <c:pt idx="8">
                  <c:v>0.641479099678457</c:v>
                </c:pt>
                <c:pt idx="9">
                  <c:v>0.563120567375887</c:v>
                </c:pt>
                <c:pt idx="10">
                  <c:v>0.560975609756097</c:v>
                </c:pt>
                <c:pt idx="11">
                  <c:v>0.498447204968944</c:v>
                </c:pt>
                <c:pt idx="12">
                  <c:v>0.484107579462103</c:v>
                </c:pt>
                <c:pt idx="13">
                  <c:v>0.404761904761905</c:v>
                </c:pt>
                <c:pt idx="14">
                  <c:v>0.385492227979275</c:v>
                </c:pt>
                <c:pt idx="15">
                  <c:v>0.379142300194932</c:v>
                </c:pt>
              </c:numCache>
            </c:numRef>
          </c:val>
        </c:ser>
        <c:ser>
          <c:idx val="3"/>
          <c:order val="3"/>
          <c:tx>
            <c:strRef>
              <c:f>label 3</c:f>
              <c:strCache>
                <c:ptCount val="1"/>
                <c:pt idx="0">
                  <c:v>Smear + (tested)</c:v>
                </c:pt>
              </c:strCache>
            </c:strRef>
          </c:tx>
          <c:spPr>
            <a:solidFill>
              <a:srgbClr val="595959"/>
            </a:solidFill>
            <a:ln w="28440">
              <a:solidFill>
                <a:srgbClr val="595959"/>
              </a:solidFill>
              <a:round/>
            </a:ln>
          </c:spPr>
          <c:marker>
            <c:symbol val="none"/>
          </c:marker>
          <c:dLbls>
            <c:showLegendKey val="0"/>
            <c:showVal val="0"/>
            <c:showCatName val="0"/>
            <c:showSerName val="0"/>
            <c:showPercent val="0"/>
          </c:dLbls>
          <c:cat>
            <c:strRef>
              <c:f>categories</c:f>
              <c:strCache>
                <c:ptCount val="16"/>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strCache>
            </c:strRef>
          </c:cat>
          <c:val>
            <c:numRef>
              <c:f>3</c:f>
              <c:numCache>
                <c:formatCode>General</c:formatCode>
                <c:ptCount val="16"/>
                <c:pt idx="0">
                  <c:v>0.849315068493151</c:v>
                </c:pt>
                <c:pt idx="1">
                  <c:v>0.810699588477366</c:v>
                </c:pt>
                <c:pt idx="2">
                  <c:v>0.81140350877193</c:v>
                </c:pt>
                <c:pt idx="3">
                  <c:v>0.857740585774059</c:v>
                </c:pt>
                <c:pt idx="4">
                  <c:v>0.929203539823009</c:v>
                </c:pt>
                <c:pt idx="5">
                  <c:v>0.897590361445783</c:v>
                </c:pt>
                <c:pt idx="6">
                  <c:v>0.83974358974359</c:v>
                </c:pt>
                <c:pt idx="7">
                  <c:v>0.867391304347826</c:v>
                </c:pt>
                <c:pt idx="8">
                  <c:v>0.813664596273292</c:v>
                </c:pt>
                <c:pt idx="9">
                  <c:v>0.727954971857411</c:v>
                </c:pt>
                <c:pt idx="10">
                  <c:v>0.742424242424243</c:v>
                </c:pt>
                <c:pt idx="11">
                  <c:v>0.721461187214612</c:v>
                </c:pt>
                <c:pt idx="12">
                  <c:v>0.712996389891697</c:v>
                </c:pt>
                <c:pt idx="13">
                  <c:v>0.573991031390135</c:v>
                </c:pt>
                <c:pt idx="14">
                  <c:v>0.519480519480519</c:v>
                </c:pt>
                <c:pt idx="15">
                  <c:v>0.520604395604396</c:v>
                </c:pt>
              </c:numCache>
            </c:numRef>
          </c:val>
        </c:ser>
        <c:ser>
          <c:idx val="4"/>
          <c:order val="4"/>
          <c:tx>
            <c:strRef>
              <c:f>label 4</c:f>
              <c:strCache>
                <c:ptCount val="1"/>
                <c:pt idx="0">
                  <c:v>Smear done</c:v>
                </c:pt>
              </c:strCache>
            </c:strRef>
          </c:tx>
          <c:spPr>
            <a:solidFill>
              <a:srgbClr val="ffc000"/>
            </a:solidFill>
            <a:ln w="28440">
              <a:solidFill>
                <a:srgbClr val="ffc000"/>
              </a:solidFill>
              <a:round/>
            </a:ln>
          </c:spPr>
          <c:marker>
            <c:symbol val="none"/>
          </c:marker>
          <c:dLbls>
            <c:showLegendKey val="0"/>
            <c:showVal val="0"/>
            <c:showCatName val="0"/>
            <c:showSerName val="0"/>
            <c:showPercent val="0"/>
          </c:dLbls>
          <c:cat>
            <c:strRef>
              <c:f>categories</c:f>
              <c:strCache>
                <c:ptCount val="16"/>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strCache>
            </c:strRef>
          </c:cat>
          <c:val>
            <c:numRef>
              <c:f>4</c:f>
              <c:numCache>
                <c:formatCode>General</c:formatCode>
                <c:ptCount val="16"/>
                <c:pt idx="0">
                  <c:v>0.68348623853211</c:v>
                </c:pt>
                <c:pt idx="1">
                  <c:v>0.690140845070423</c:v>
                </c:pt>
                <c:pt idx="2">
                  <c:v>0.691860465116279</c:v>
                </c:pt>
                <c:pt idx="3">
                  <c:v>0.735905044510386</c:v>
                </c:pt>
                <c:pt idx="4">
                  <c:v>0.7</c:v>
                </c:pt>
                <c:pt idx="5">
                  <c:v>0.74617067833698</c:v>
                </c:pt>
                <c:pt idx="6">
                  <c:v>0.821612349914237</c:v>
                </c:pt>
                <c:pt idx="7">
                  <c:v>0.805414551607445</c:v>
                </c:pt>
                <c:pt idx="8">
                  <c:v>0.810289389067524</c:v>
                </c:pt>
                <c:pt idx="9">
                  <c:v>0.808510638297872</c:v>
                </c:pt>
                <c:pt idx="10">
                  <c:v>0.788617886178862</c:v>
                </c:pt>
                <c:pt idx="11">
                  <c:v>0.701863354037267</c:v>
                </c:pt>
                <c:pt idx="12">
                  <c:v>0.691931540342298</c:v>
                </c:pt>
                <c:pt idx="13">
                  <c:v>0.710144927536232</c:v>
                </c:pt>
                <c:pt idx="14">
                  <c:v>0.744041450777202</c:v>
                </c:pt>
                <c:pt idx="15">
                  <c:v>0.73196881091618</c:v>
                </c:pt>
              </c:numCache>
            </c:numRef>
          </c:val>
        </c:ser>
        <c:ser>
          <c:idx val="5"/>
          <c:order val="5"/>
          <c:tx>
            <c:strRef>
              <c:f>label 5</c:f>
              <c:strCache>
                <c:ptCount val="1"/>
                <c:pt idx="0">
                  <c:v>HIV+ TB patients</c:v>
                </c:pt>
              </c:strCache>
            </c:strRef>
          </c:tx>
          <c:spPr>
            <a:solidFill>
              <a:srgbClr val="ff0000"/>
            </a:solidFill>
            <a:ln w="38160">
              <a:solidFill>
                <a:srgbClr val="ff0000"/>
              </a:solidFill>
              <a:round/>
            </a:ln>
          </c:spPr>
          <c:marker>
            <c:symbol val="none"/>
          </c:marker>
          <c:dLbls>
            <c:showLegendKey val="0"/>
            <c:showVal val="0"/>
            <c:showCatName val="0"/>
            <c:showSerName val="0"/>
            <c:showPercent val="0"/>
          </c:dLbls>
          <c:cat>
            <c:strRef>
              <c:f>categories</c:f>
              <c:strCache>
                <c:ptCount val="16"/>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strCache>
            </c:strRef>
          </c:cat>
          <c:val>
            <c:numRef>
              <c:f>5</c:f>
              <c:numCache>
                <c:formatCode>General</c:formatCode>
                <c:ptCount val="16"/>
                <c:pt idx="0">
                  <c:v>0.689655172413793</c:v>
                </c:pt>
                <c:pt idx="1">
                  <c:v>0.703499079189687</c:v>
                </c:pt>
                <c:pt idx="2">
                  <c:v>0.722379603399433</c:v>
                </c:pt>
                <c:pt idx="3">
                  <c:v>0.759953161592506</c:v>
                </c:pt>
                <c:pt idx="4">
                  <c:v>0.769320843091335</c:v>
                </c:pt>
                <c:pt idx="5">
                  <c:v>0.727482678983834</c:v>
                </c:pt>
                <c:pt idx="6">
                  <c:v/>
                </c:pt>
                <c:pt idx="7">
                  <c:v/>
                </c:pt>
                <c:pt idx="8">
                  <c:v/>
                </c:pt>
                <c:pt idx="9">
                  <c:v/>
                </c:pt>
                <c:pt idx="10">
                  <c:v/>
                </c:pt>
                <c:pt idx="11">
                  <c:v/>
                </c:pt>
                <c:pt idx="12">
                  <c:v/>
                </c:pt>
                <c:pt idx="13">
                  <c:v/>
                </c:pt>
                <c:pt idx="14">
                  <c:v/>
                </c:pt>
                <c:pt idx="15">
                  <c:v/>
                </c:pt>
              </c:numCache>
            </c:numRef>
          </c:val>
        </c:ser>
        <c:ser>
          <c:idx val="6"/>
          <c:order val="6"/>
          <c:tx>
            <c:strRef>
              <c:f>label 6</c:f>
              <c:strCache>
                <c:ptCount val="1"/>
                <c:pt idx="0">
                  <c:v>New</c:v>
                </c:pt>
              </c:strCache>
            </c:strRef>
          </c:tx>
          <c:spPr>
            <a:solidFill>
              <a:srgbClr val="8ea5ca"/>
            </a:solidFill>
            <a:ln w="28440">
              <a:solidFill>
                <a:srgbClr val="8ea5ca"/>
              </a:solidFill>
              <a:custDash/>
              <a:round/>
            </a:ln>
          </c:spPr>
          <c:marker>
            <c:symbol val="none"/>
          </c:marker>
          <c:dLbls>
            <c:showLegendKey val="0"/>
            <c:showVal val="0"/>
            <c:showCatName val="0"/>
            <c:showSerName val="0"/>
            <c:showPercent val="0"/>
          </c:dLbls>
          <c:cat>
            <c:strRef>
              <c:f>categories</c:f>
              <c:strCache>
                <c:ptCount val="16"/>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strCache>
            </c:strRef>
          </c:cat>
          <c:val>
            <c:numRef>
              <c:f>6</c:f>
              <c:numCache>
                <c:formatCode>General</c:formatCode>
                <c:ptCount val="16"/>
                <c:pt idx="0">
                  <c:v>0.896551724137931</c:v>
                </c:pt>
                <c:pt idx="1">
                  <c:v>0.917857142857143</c:v>
                </c:pt>
                <c:pt idx="2">
                  <c:v>0.917647058823529</c:v>
                </c:pt>
                <c:pt idx="3">
                  <c:v>0.944029850746269</c:v>
                </c:pt>
                <c:pt idx="4">
                  <c:v>0.933579335793358</c:v>
                </c:pt>
                <c:pt idx="5">
                  <c:v>0.838709677419355</c:v>
                </c:pt>
                <c:pt idx="6">
                  <c:v>0.898635477582846</c:v>
                </c:pt>
                <c:pt idx="7">
                  <c:v>0.886939571150097</c:v>
                </c:pt>
                <c:pt idx="8">
                  <c:v>0.893457943925234</c:v>
                </c:pt>
                <c:pt idx="9">
                  <c:v>0.915702479338843</c:v>
                </c:pt>
                <c:pt idx="10">
                  <c:v>0.933586337760911</c:v>
                </c:pt>
                <c:pt idx="11">
                  <c:v>0.88929219600726</c:v>
                </c:pt>
                <c:pt idx="12">
                  <c:v>0.883190883190883</c:v>
                </c:pt>
                <c:pt idx="13">
                  <c:v>0.882701421800948</c:v>
                </c:pt>
                <c:pt idx="14">
                  <c:v>0.893992932862191</c:v>
                </c:pt>
                <c:pt idx="15">
                  <c:v>0.889528193325662</c:v>
                </c:pt>
              </c:numCache>
            </c:numRef>
          </c:val>
        </c:ser>
        <c:ser>
          <c:idx val="7"/>
          <c:order val="7"/>
          <c:tx>
            <c:strRef>
              <c:f>label 7</c:f>
              <c:strCache>
                <c:ptCount val="1"/>
                <c:pt idx="0">
                  <c:v>Retreatment</c:v>
                </c:pt>
              </c:strCache>
            </c:strRef>
          </c:tx>
          <c:spPr>
            <a:solidFill>
              <a:srgbClr val="cc8f8e"/>
            </a:solidFill>
            <a:ln w="28440">
              <a:solidFill>
                <a:srgbClr val="cc8f8e"/>
              </a:solidFill>
              <a:custDash/>
              <a:round/>
            </a:ln>
          </c:spPr>
          <c:marker>
            <c:symbol val="none"/>
          </c:marker>
          <c:dLbls>
            <c:showLegendKey val="0"/>
            <c:showVal val="0"/>
            <c:showCatName val="0"/>
            <c:showSerName val="0"/>
            <c:showPercent val="0"/>
          </c:dLbls>
          <c:cat>
            <c:strRef>
              <c:f>categories</c:f>
              <c:strCache>
                <c:ptCount val="16"/>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strCache>
            </c:strRef>
          </c:cat>
          <c:val>
            <c:numRef>
              <c:f>7</c:f>
              <c:numCache>
                <c:formatCode>General</c:formatCode>
                <c:ptCount val="16"/>
                <c:pt idx="0">
                  <c:v>0.103448275862069</c:v>
                </c:pt>
                <c:pt idx="1">
                  <c:v>0.0821428571428571</c:v>
                </c:pt>
                <c:pt idx="2">
                  <c:v>0.0823529411764706</c:v>
                </c:pt>
                <c:pt idx="3">
                  <c:v>0.0559701492537313</c:v>
                </c:pt>
                <c:pt idx="4">
                  <c:v>0.0664206642066421</c:v>
                </c:pt>
                <c:pt idx="5">
                  <c:v>0.161290322580645</c:v>
                </c:pt>
                <c:pt idx="6">
                  <c:v>0.101364522417154</c:v>
                </c:pt>
                <c:pt idx="7">
                  <c:v>0.113060428849903</c:v>
                </c:pt>
                <c:pt idx="8">
                  <c:v>0.106542056074766</c:v>
                </c:pt>
                <c:pt idx="9">
                  <c:v>0.084297520661157</c:v>
                </c:pt>
                <c:pt idx="10">
                  <c:v>0.0664136622390892</c:v>
                </c:pt>
                <c:pt idx="11">
                  <c:v>0.110707803992741</c:v>
                </c:pt>
                <c:pt idx="12">
                  <c:v>0.116809116809117</c:v>
                </c:pt>
                <c:pt idx="13">
                  <c:v>0.117298578199052</c:v>
                </c:pt>
                <c:pt idx="14">
                  <c:v>0.106007067137809</c:v>
                </c:pt>
                <c:pt idx="15">
                  <c:v>0.110471806674338</c:v>
                </c:pt>
              </c:numCache>
            </c:numRef>
          </c:val>
        </c:ser>
        <c:marker val="0"/>
        <c:axId val="89763749"/>
        <c:axId val="57927613"/>
      </c:lineChart>
      <c:catAx>
        <c:axId val="89763749"/>
        <c:scaling>
          <c:orientation val="minMax"/>
        </c:scaling>
        <c:delete val="0"/>
        <c:axPos val="b"/>
        <c:majorTickMark val="none"/>
        <c:minorTickMark val="none"/>
        <c:tickLblPos val="nextTo"/>
        <c:spPr>
          <a:ln w="9360">
            <a:solidFill>
              <a:srgbClr val="878787"/>
            </a:solidFill>
            <a:round/>
          </a:ln>
        </c:spPr>
        <c:crossAx val="57927613"/>
        <c:crossesAt val="0"/>
        <c:auto val="1"/>
        <c:lblAlgn val="ctr"/>
        <c:lblOffset val="100"/>
      </c:catAx>
      <c:valAx>
        <c:axId val="57927613"/>
        <c:scaling>
          <c:orientation val="minMax"/>
        </c:scaling>
        <c:delete val="0"/>
        <c:axPos val="l"/>
        <c:majorGridlines>
          <c:spPr>
            <a:ln w="9360">
              <a:solidFill>
                <a:srgbClr val="878787"/>
              </a:solidFill>
              <a:round/>
            </a:ln>
          </c:spPr>
        </c:majorGridlines>
        <c:title>
          <c:tx>
            <c:rich>
              <a:bodyPr/>
              <a:lstStyle/>
              <a:p>
                <a:pPr>
                  <a:defRPr/>
                </a:pPr>
                <a:r>
                  <a:rPr b="1" sz="1000">
                    <a:solidFill>
                      <a:srgbClr val="000000"/>
                    </a:solidFill>
                    <a:latin typeface="Calibri"/>
                  </a:rPr>
                  <a:t>Axis Title</a:t>
                </a:r>
              </a:p>
            </c:rich>
          </c:tx>
          <c:layout/>
        </c:title>
        <c:majorTickMark val="none"/>
        <c:minorTickMark val="none"/>
        <c:tickLblPos val="nextTo"/>
        <c:spPr>
          <a:ln w="9360">
            <a:solidFill>
              <a:srgbClr val="878787"/>
            </a:solidFill>
            <a:round/>
          </a:ln>
        </c:spPr>
        <c:crossAx val="89763749"/>
        <c:crossesAt val="0"/>
      </c:valAx>
      <c:spPr>
        <a:solidFill>
          <a:srgbClr val="ffffff"/>
        </a:solidFill>
        <a:ln>
          <a:noFill/>
        </a:ln>
      </c:spPr>
    </c:plotArea>
    <c:legend>
      <c:legendPos val="r"/>
      <c:overlay val="0"/>
      <c:spPr>
        <a:noFill/>
        <a:ln>
          <a:noFill/>
        </a:ln>
      </c:spPr>
    </c:legend>
    <c:plotVisOnly val="1"/>
  </c:chart>
  <c:spPr>
    <a:no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chart>
    <c:plotArea>
      <c:layout/>
      <c:barChart>
        <c:barDir val="col"/>
        <c:grouping val="clustered"/>
        <c:ser>
          <c:idx val="0"/>
          <c:order val="0"/>
          <c:tx>
            <c:strRef>
              <c:f>label 0</c:f>
              <c:strCache>
                <c:ptCount val="1"/>
                <c:pt idx="0">
                  <c:v>HIV positive</c:v>
                </c:pt>
              </c:strCache>
            </c:strRef>
          </c:tx>
          <c:spPr>
            <a:solidFill>
              <a:srgbClr val="c0504d"/>
            </a:solidFill>
            <a:ln>
              <a:noFill/>
            </a:ln>
          </c:spPr>
          <c:cat>
            <c:strRef>
              <c:f>categories</c:f>
              <c:strCache>
                <c:ptCount val="6"/>
                <c:pt idx="0">
                  <c:v>cured</c:v>
                </c:pt>
                <c:pt idx="1">
                  <c:v>ttm completed</c:v>
                </c:pt>
                <c:pt idx="2">
                  <c:v>ttm failed</c:v>
                </c:pt>
                <c:pt idx="3">
                  <c:v>LTFU</c:v>
                </c:pt>
                <c:pt idx="4">
                  <c:v>death</c:v>
                </c:pt>
                <c:pt idx="5">
                  <c:v>tranferred out</c:v>
                </c:pt>
              </c:strCache>
            </c:strRef>
          </c:cat>
          <c:val>
            <c:numRef>
              <c:f>0</c:f>
              <c:numCache>
                <c:formatCode>General</c:formatCode>
                <c:ptCount val="6"/>
                <c:pt idx="0">
                  <c:v>31.5</c:v>
                </c:pt>
                <c:pt idx="1">
                  <c:v>40.2</c:v>
                </c:pt>
                <c:pt idx="2">
                  <c:v>1.1</c:v>
                </c:pt>
                <c:pt idx="3">
                  <c:v>8.3</c:v>
                </c:pt>
                <c:pt idx="4">
                  <c:v>17.3</c:v>
                </c:pt>
                <c:pt idx="5">
                  <c:v>1.6</c:v>
                </c:pt>
              </c:numCache>
            </c:numRef>
          </c:val>
        </c:ser>
        <c:ser>
          <c:idx val="1"/>
          <c:order val="1"/>
          <c:tx>
            <c:strRef>
              <c:f>label 1</c:f>
              <c:strCache>
                <c:ptCount val="1"/>
                <c:pt idx="0">
                  <c:v>HIV negative</c:v>
                </c:pt>
              </c:strCache>
            </c:strRef>
          </c:tx>
          <c:spPr>
            <a:solidFill>
              <a:srgbClr val="8eb4e3"/>
            </a:solidFill>
            <a:ln>
              <a:noFill/>
            </a:ln>
          </c:spPr>
          <c:cat>
            <c:strRef>
              <c:f>categories</c:f>
              <c:strCache>
                <c:ptCount val="6"/>
                <c:pt idx="0">
                  <c:v>cured</c:v>
                </c:pt>
                <c:pt idx="1">
                  <c:v>ttm completed</c:v>
                </c:pt>
                <c:pt idx="2">
                  <c:v>ttm failed</c:v>
                </c:pt>
                <c:pt idx="3">
                  <c:v>LTFU</c:v>
                </c:pt>
                <c:pt idx="4">
                  <c:v>death</c:v>
                </c:pt>
                <c:pt idx="5">
                  <c:v>tranferred out</c:v>
                </c:pt>
              </c:strCache>
            </c:strRef>
          </c:cat>
          <c:val>
            <c:numRef>
              <c:f>1</c:f>
              <c:numCache>
                <c:formatCode>General</c:formatCode>
                <c:ptCount val="6"/>
                <c:pt idx="0">
                  <c:v>37.9</c:v>
                </c:pt>
                <c:pt idx="1">
                  <c:v>41.6</c:v>
                </c:pt>
                <c:pt idx="2">
                  <c:v>1</c:v>
                </c:pt>
                <c:pt idx="3">
                  <c:v>9.1</c:v>
                </c:pt>
                <c:pt idx="4">
                  <c:v>8.7</c:v>
                </c:pt>
                <c:pt idx="5">
                  <c:v>1.7</c:v>
                </c:pt>
              </c:numCache>
            </c:numRef>
          </c:val>
        </c:ser>
        <c:gapWidth val="150"/>
        <c:axId val="78482721"/>
        <c:axId val="49279092"/>
      </c:barChart>
      <c:catAx>
        <c:axId val="78482721"/>
        <c:scaling>
          <c:orientation val="minMax"/>
        </c:scaling>
        <c:delete val="0"/>
        <c:axPos val="b"/>
        <c:majorTickMark val="out"/>
        <c:minorTickMark val="none"/>
        <c:tickLblPos val="nextTo"/>
        <c:spPr>
          <a:ln w="9360">
            <a:solidFill>
              <a:srgbClr val="878787"/>
            </a:solidFill>
            <a:round/>
          </a:ln>
        </c:spPr>
        <c:crossAx val="49279092"/>
        <c:crossesAt val="0"/>
        <c:auto val="1"/>
        <c:lblAlgn val="ctr"/>
        <c:lblOffset val="100"/>
      </c:catAx>
      <c:valAx>
        <c:axId val="49279092"/>
        <c:scaling>
          <c:orientation val="minMax"/>
        </c:scaling>
        <c:delete val="0"/>
        <c:axPos val="l"/>
        <c:majorGridlines>
          <c:spPr>
            <a:ln w="9360">
              <a:solidFill>
                <a:srgbClr val="878787"/>
              </a:solidFill>
              <a:round/>
            </a:ln>
          </c:spPr>
        </c:majorGridlines>
        <c:majorTickMark val="out"/>
        <c:minorTickMark val="none"/>
        <c:tickLblPos val="nextTo"/>
        <c:spPr>
          <a:ln w="9360">
            <a:solidFill>
              <a:srgbClr val="878787"/>
            </a:solidFill>
            <a:round/>
          </a:ln>
        </c:spPr>
        <c:crossAx val="78482721"/>
        <c:crossesAt val="0"/>
      </c:valAx>
      <c:spPr>
        <a:solidFill>
          <a:srgbClr val="ffffff"/>
        </a:solidFill>
        <a:ln>
          <a:noFill/>
        </a:ln>
      </c:spPr>
    </c:plotArea>
    <c:legend>
      <c:legendPos val="r"/>
      <c:overlay val="0"/>
      <c:spPr>
        <a:noFill/>
        <a:ln>
          <a:noFill/>
        </a:ln>
      </c:spPr>
    </c:legend>
    <c:plotVisOnly val="1"/>
  </c:chart>
  <c:spPr>
    <a:noFill/>
    <a:ln>
      <a:noFill/>
    </a:ln>
  </c:spPr>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EA7B8-7DC6-43C3-9A4B-79E6DB502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2015-12-19T12:50:00Z</dcterms:created>
  <dc:creator>Rafaela MiraRib</dc:creator>
  <dc:language>en-US</dc:language>
  <cp:lastModifiedBy>Rafaela MiraRib</cp:lastModifiedBy>
  <dcterms:modified xsi:type="dcterms:W3CDTF">2015-12-27T16:12:00Z</dcterms:modified>
  <cp:revision>24</cp:revision>
</cp:coreProperties>
</file>