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SaaS Inc.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Acme SaaS Inc.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[privacy@acme.com](mailto:privacy@acme.com)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Acme SaaS Inc.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[privacy@acme.com](mailto:privacy@acme.com).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Verify security measures described match actual implementation</w:t>
      </w:r>
    </w:p>
    <w:p>
      <w:pPr>
        <w:pStyle w:val="ListParagraph"/>
        <w:numPr>
          <w:ilvl w:val="0"/>
          <w:numId w:val="1"/>
        </w:numPr>
      </w:pPr>
      <w:r>
        <w:t xml:space="preserve">Confirm responsible disclosure process is operational</w:t>
      </w:r>
    </w:p>
    <w:p>
      <w:pPr>
        <w:pStyle w:val="ListParagraph"/>
        <w:numPr>
          <w:ilvl w:val="0"/>
          <w:numId w:val="1"/>
        </w:numPr>
      </w:pPr>
      <w:r>
        <w:t xml:space="preserve">Check that response timelines are achievable</w:t>
      </w:r>
    </w:p>
    <w:p>
      <w:pPr>
        <w:pStyle w:val="ListParagraph"/>
        <w:numPr>
          <w:ilvl w:val="0"/>
          <w:numId w:val="1"/>
        </w:numPr>
      </w:pPr>
      <w:r>
        <w:t xml:space="preserve">Ensure contact information is current and monitored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Security practices  |  Template — needs verification  |  Medium</w:t>
      </w:r>
    </w:p>
    <w:p>
      <w:r>
        <w:rPr>
          <w:sz w:val="20"/>
        </w:rPr>
        <w:t xml:space="preserve">Reporting process  |  Standard template  |  Medium</w:t>
      </w:r>
    </w:p>
    <w:p>
      <w:r>
        <w:rPr>
          <w:sz w:val="20"/>
        </w:rPr>
        <w:t xml:space="preserve">Contact information  |  From config file  |  High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[Codepliant](https://github.com/codepliant/codepliant) based on an automated scan of the acme-saas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