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**11**</w:t>
      </w:r>
    </w:p>
    <w:p>
      <w:r>
        <w:rPr>
          <w:sz w:val="20"/>
        </w:rPr>
        <w:t xml:space="preserve">Critical Gaps  |  **4**</w:t>
      </w:r>
    </w:p>
    <w:p>
      <w:r>
        <w:rPr>
          <w:sz w:val="20"/>
        </w:rPr>
        <w:t xml:space="preserve">High Priority Gaps  |  **6**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23</w:t>
      </w:r>
    </w:p>
    <w:p>
      <w:r>
        <w:rPr>
          <w:sz w:val="20"/>
        </w:rPr>
        <w:t xml:space="preserve">Regulations Covered  |  GDPR, PCI DSS, ePrivacy,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Large-scale data processing detected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Consent Management (Art. 6/7)  |  Analytics/advertising services detected — consent required  |  CMP deployed; consent recorded before any tracking; withdrawal mechanism operational  |  Deploy consent management platform; block trackers until consent obtained  |  🔴 Critical  |  Medium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23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23 third-party services detected  |  Signed DPAs with all sub-processors; annual review process  |  Obtain signed DPAs from all 23 detected sub-processors  |  🟠 High  |  Medium</w:t>
      </w:r>
    </w:p>
    <w:p>
      <w:r>
        <w:rPr>
          <w:sz w:val="20"/>
        </w:rPr>
        <w:t xml:space="preserve">Cookie Consent (ePrivacy Directive)  |  Cookie inventory generated; analytics services detected  |  Cookie banner deployed; consent recorded; non-essential cookies blocked until consent  |  Deploy CMP with granular cookie categories; implement server-side consent enforcement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8 gaps identified (3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🔴 **Consent Management (Art. 6/7)**: Deploy consent management platform; block trackers until consent obtained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23 detected sub-processors *(Effort: Medium)*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ePrivacy</w:t>
      </w:r>
    </w:p>
    <w:p>
      <w:r>
        <w:t xml:space="preserve">1 gaps identified (0 critical, 1 high)</w:t>
      </w:r>
    </w:p>
    <w:p>
      <w:pPr>
        <w:pStyle w:val="ListParagraph"/>
        <w:numPr>
          <w:ilvl w:val="0"/>
          <w:numId w:val="1"/>
        </w:numPr>
      </w:pPr>
      <w:r>
        <w:t xml:space="preserve">🟠 **Cookie Consent (ePrivacy Directive)**: Deploy CMP with granular cookie categories; implement server-side consent enforcement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 (Art. 6/7)** (GDPR): Deploy consent management platform; block trackers until consent obtained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23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**Cookie Consent (ePrivacy Directive)** (ePrivacy): Deploy CMP with granular cookie categories; implement server-side consent enforcement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