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Configure analytics to anonymize IP addresses</w:t>
      </w:r>
    </w:p>
    <w:p>
      <w:pPr>
        <w:pStyle w:val="ListParagraph"/>
        <w:numPr>
          <w:ilvl w:val="0"/>
          <w:numId w:val="1"/>
        </w:numPr>
      </w:pPr>
      <w:r>
        <w:t xml:space="preserve">[ ] Disable user-level tracking where aggregate data suffices</w:t>
      </w:r>
    </w:p>
    <w:p>
      <w:pPr>
        <w:pStyle w:val="ListParagraph"/>
        <w:numPr>
          <w:ilvl w:val="0"/>
          <w:numId w:val="1"/>
        </w:numPr>
      </w:pPr>
      <w:r>
        <w:t xml:space="preserve">[ ] Set analytics data retention to the shortest period needed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ListParagraph"/>
        <w:numPr>
          <w:ilvl w:val="0"/>
          <w:numId w:val="1"/>
        </w:numPr>
      </w:pPr>
      <w:r>
        <w:t xml:space="preserve">[ ] Strip PII from error reports before sending to monitoring services</w:t>
      </w:r>
    </w:p>
    <w:p>
      <w:pPr>
        <w:pStyle w:val="ListParagraph"/>
        <w:numPr>
          <w:ilvl w:val="0"/>
          <w:numId w:val="1"/>
        </w:numPr>
      </w:pPr>
      <w:r>
        <w:t xml:space="preserve">[ ] Configure user context in error tracking to use anonymized identifiers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Implement a cookie consent banner with granular controls</w:t>
      </w:r>
    </w:p>
    <w:p>
      <w:pPr>
        <w:pStyle w:val="ListParagraph"/>
        <w:numPr>
          <w:ilvl w:val="0"/>
          <w:numId w:val="1"/>
        </w:numPr>
      </w:pPr>
      <w:r>
        <w:t xml:space="preserve">[ ] Provide a clear Cookie Policy listing all tracking technologies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Analytics &amp; Tracking</w:t>
      </w:r>
    </w:p>
    <w:p>
      <w:pPr>
        <w:pStyle w:val="ListParagraph"/>
        <w:numPr>
          <w:ilvl w:val="0"/>
          <w:numId w:val="1"/>
        </w:numPr>
      </w:pPr>
      <w:r>
        <w:t xml:space="preserve">[ ] **Differential privacy**: Add noise to analytics datasets to prevent re-identification</w:t>
      </w:r>
    </w:p>
    <w:p>
      <w:pPr>
        <w:pStyle w:val="ListParagraph"/>
        <w:numPr>
          <w:ilvl w:val="0"/>
          <w:numId w:val="1"/>
        </w:numPr>
      </w:pPr>
      <w:r>
        <w:t xml:space="preserve">[ ] **K-anonymity**: Ensure analytics cohorts contain at least k individuals</w:t>
      </w:r>
    </w:p>
    <w:p>
      <w:pPr>
        <w:pStyle w:val="ListParagraph"/>
        <w:numPr>
          <w:ilvl w:val="0"/>
          <w:numId w:val="1"/>
        </w:numPr>
      </w:pPr>
      <w:r>
        <w:t xml:space="preserve">[ ] **Server-side analytics**: Process analytics events server-side to reduce client data exposure</w:t>
      </w:r>
    </w:p>
    <w:p>
      <w:pPr>
        <w:pStyle w:val="ListParagraph"/>
        <w:numPr>
          <w:ilvl w:val="0"/>
          <w:numId w:val="1"/>
        </w:numPr>
      </w:pPr>
      <w:r>
        <w:t xml:space="preserve">[ ] **IP anonymization**: Truncate IP addresses before storage</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@hubspot/api-client  |  other  |  contact information, email addresses, names, phone numbers, company data, deal information, engagement history  |  Review data processing scope; assess DPA requirements</w:t>
      </w:r>
    </w:p>
    <w:p>
      <w:r>
        <w:rPr>
          <w:sz w:val="20"/>
        </w:rPr>
        <w:t xml:space="preserve">@sendgrid/mail  |  email  |  email addresses, email content  |  Consent/opt-out mechanism; DPA with provider; retention policy</w:t>
      </w:r>
    </w:p>
    <w:p>
      <w:r>
        <w:rPr>
          <w:sz w:val="20"/>
        </w:rPr>
        <w:t xml:space="preserve">@sentry/nextjs  |  monitoring  |  error data, stack traces, user context, device information, IP address, performance profiles  |  PII scrubbing in error reports; retention limits; access controls</w:t>
      </w:r>
    </w:p>
    <w:p>
      <w:r>
        <w:rPr>
          <w:sz w:val="20"/>
        </w:rPr>
        <w:t xml:space="preserve">@upstash/redis  |  database  |  cached data, session data  |  Encryption at rest; access controls; backup encryption</w:t>
      </w:r>
    </w:p>
    <w:p>
      <w:r>
        <w:rPr>
          <w:sz w:val="20"/>
        </w:rPr>
        <w:t xml:space="preserve">Google Analytics  |  analytics  |  page views, user behavior, device information, IP address, location data  |  Consent mechanism; IP anonymization; retention review</w:t>
      </w:r>
    </w:p>
    <w:p>
      <w:r>
        <w:rPr>
          <w:sz w:val="20"/>
        </w:rPr>
        <w:t xml:space="preserve">Google Tag Manager  |  analytics  |  page views, user behavior, custom events, device information, third-party tag data  |  Consent mechanism; IP anonymization; retention review</w:t>
      </w:r>
    </w:p>
    <w:p>
      <w:r>
        <w:rPr>
          <w:sz w:val="20"/>
        </w:rPr>
        <w:t xml:space="preserve">google-auth-library  |  auth  |  OAuth tokens, Google profile data, email  |  Minimize data collected; secure credential storage; session management</w:t>
      </w:r>
    </w:p>
    <w:p>
      <w:r>
        <w:rPr>
          <w:sz w:val="20"/>
        </w:rPr>
        <w:t xml:space="preserve">googleapis  |  other  |  user data via Google APIs, calendar data, email data, profile information  |  Review data processing scope; assess DPA requirements</w:t>
      </w:r>
    </w:p>
    <w:p>
      <w:r>
        <w:rPr>
          <w:sz w:val="20"/>
        </w:rPr>
        <w:t xml:space="preserve">intercom  |  other  |  user profiles, email, name, conversations, user behavior, company data  |  Review data processing scope; assess DPA requirements</w:t>
      </w:r>
    </w:p>
    <w:p>
      <w:r>
        <w:rPr>
          <w:sz w:val="20"/>
        </w:rPr>
        <w:t xml:space="preserve">ioredis  |  database  |  cached data, session data  |  Encryption at rest; access controls; backup encryption</w:t>
      </w:r>
    </w:p>
    <w:p>
      <w:r>
        <w:rPr>
          <w:sz w:val="20"/>
        </w:rPr>
        <w:t xml:space="preserve">next-auth  |  auth  |  email, name, profile picture, OAuth tokens, session data  |  Minimize data collected; secure credential storage; session management</w:t>
      </w:r>
    </w:p>
    <w:p>
      <w:r>
        <w:rPr>
          <w:sz w:val="20"/>
        </w:rPr>
        <w:t xml:space="preserve">nodemailer  |  email  |  email addresses, email content  |  Consent/opt-out mechanism; DPA with provider; retention policy</w:t>
      </w:r>
    </w:p>
    <w:p>
      <w:r>
        <w:rPr>
          <w:sz w:val="20"/>
        </w:rPr>
        <w:t xml:space="preserve">passport  |  auth  |  email, name, OAuth tokens, session data  |  Minimize data collected; secure credential storage; session management</w:t>
      </w:r>
    </w:p>
    <w:p>
      <w:r>
        <w:rPr>
          <w:sz w:val="20"/>
        </w:rPr>
        <w:t xml:space="preserve">Plausible Analytics  |  analytics  |  page views, referrer data, device information  |  Consent mechanism; IP anonymization; retention review</w:t>
      </w:r>
    </w:p>
    <w:p>
      <w:r>
        <w:rPr>
          <w:sz w:val="20"/>
        </w:rPr>
        <w:t xml:space="preserve">PostgreSQL  |  database  |  application data, user records  |  Encryption at rest; access controls; backup encryption</w:t>
      </w:r>
    </w:p>
    <w:p>
      <w:r>
        <w:rPr>
          <w:sz w:val="20"/>
        </w:rPr>
        <w:t xml:space="preserve">PostgreSQL (env)  |  database  |  application data, user records  |  Encryption at rest; access controls; backup encryption</w:t>
      </w:r>
    </w:p>
    <w:p>
      <w:r>
        <w:rPr>
          <w:sz w:val="20"/>
        </w:rPr>
        <w:t xml:space="preserve">posthog  |  analytics  |  user behavior, session recordings, feature flag usage, device information  |  Consent mechanism; IP anonymization; retention review</w:t>
      </w:r>
    </w:p>
    <w:p>
      <w:r>
        <w:rPr>
          <w:sz w:val="20"/>
        </w:rPr>
        <w:t xml:space="preserve">prisma  |  database  |  user data as defined in schema  |  Encryption at rest; access controls; backup encryption</w:t>
      </w:r>
    </w:p>
    <w:p>
      <w:r>
        <w:rPr>
          <w:sz w:val="20"/>
        </w:rPr>
        <w:t xml:space="preserve">Redis  |  database  |  session data, cache data  |  Encryption at rest; access controls; backup encryption</w:t>
      </w:r>
    </w:p>
    <w:p>
      <w:r>
        <w:rPr>
          <w:sz w:val="20"/>
        </w:rPr>
        <w:t xml:space="preserve">Redis (env)  |  database  |  session data, cache data  |  Encryption at rest; access controls; backup encryption</w:t>
      </w:r>
    </w:p>
    <w:p>
      <w:r>
        <w:rPr>
          <w:sz w:val="20"/>
        </w:rPr>
        <w:t xml:space="preserve">stripe  |  payment  |  payment information, billing address, email, transaction history  |  PCI DSS compliance; DPA with processor; tokenization review</w:t>
      </w:r>
    </w:p>
    <w:p>
      <w:r>
        <w:rPr>
          <w:sz w:val="20"/>
        </w:rPr>
        <w:t xml:space="preserve">twilio  |  other  |  phone numbers, SMS message content, voice call metadata, call recordings  |  Review data processing scope; assess DPA requirements</w:t>
      </w:r>
    </w:p>
    <w:p>
      <w:r>
        <w:rPr>
          <w:sz w:val="20"/>
        </w:rPr>
        <w:t xml:space="preserve">web-push  |  other  |  push subscription endpoints, device tokens, notification content  |  Review data processing scope; assess DPA requirements</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