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Impact Assessment (DPIA)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calcom-monorepo</w:t>
      </w:r>
    </w:p>
    <w:p>
      <w:r>
        <w:t xml:space="preserve">Data Controller: [Your Company Name]</w:t>
      </w:r>
    </w:p>
    <w:p>
      <w:r>
        <w:t xml:space="preserve">Contact: [your-email@example.com]</w:t>
      </w:r>
    </w:p>
    <w:p>
      <w:r>
        <w:t xml:space="preserve">DPO: [DPO Name] ([dpo@example.com])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Risk Register (`RISK_REGISTER.md`)</w:t>
      </w:r>
    </w:p>
    <w:p>
      <w:pPr>
        <w:pStyle w:val="ListParagraph"/>
        <w:numPr>
          <w:ilvl w:val="0"/>
          <w:numId w:val="1"/>
        </w:numPr>
      </w:pPr>
      <w:r>
        <w:t xml:space="preserve">Lawful Basis Assessment (`LAWFUL_BASIS_ASSESSMENT.md`)</w:t>
      </w:r>
    </w:p>
    <w:p>
      <w:pPr>
        <w:pBdr>
          <w:bottom w:val="single" w:sz="6" w:space="1" w:color="999999"/>
        </w:pBdr>
      </w:pPr>
    </w:p>
    <w:p>
      <w:pPr>
        <w:ind w:left="720"/>
      </w:pPr>
      <w:r>
        <w:rPr>
          <w:i/>
          <w:color w:val="666666"/>
        </w:rPr>
        <w:t xml:space="preserve">This Data Protection Impact Assessment is prepared pursuant to **Article 35 of the General Data Protection Regulation (EU) 2016/679 (GDPR)**. A DPIA is required when data processing is likely to result in a high risk to the rights and freedoms of natural persons, particularly when using new technologies.</w:t>
      </w:r>
    </w:p>
    <w:p>
      <w:pPr>
        <w:pStyle w:val="Heading2"/>
      </w:pPr>
      <w:r>
        <w:t>1. Description of Processing</w:t>
      </w:r>
    </w:p>
    <w:p>
      <w:pPr>
        <w:pStyle w:val="Heading3"/>
      </w:pPr>
      <w:r>
        <w:t>1.1 Overview</w:t>
      </w:r>
    </w:p>
    <w:p>
      <w:r>
        <w:t xml:space="preserve">This assessment covers the data processing activities of the calcom-monorepo application operated by [Your Company Name]. The following describes the nature, scope, context, and purposes of processing.</w:t>
      </w:r>
    </w:p>
    <w:p>
      <w:pPr>
        <w:pStyle w:val="Heading3"/>
      </w:pPr>
      <w:r>
        <w:t>1.2 Services and Data Processing Activities</w:t>
      </w:r>
    </w:p>
    <w:p>
      <w:r>
        <w:t xml:space="preserve">The application integrates the following services that process personal data:</w:t>
      </w:r>
    </w:p>
    <w:p>
      <w:r>
        <w:rPr>
          <w:sz w:val="20"/>
        </w:rPr>
        <w:t xml:space="preserve">Service  |  Category  |  Data Processed  |  Legal Basis</w:t>
      </w:r>
    </w:p>
    <w:p>
      <w:r>
        <w:rPr>
          <w:sz w:val="20"/>
        </w:rPr>
        <w:t xml:space="preserve">@hubspot/api-client  |  other  |  contact information, email addresses, names, phone numbers, company data, deal information, engagement history  |  Legitimate interest</w:t>
      </w:r>
    </w:p>
    <w:p>
      <w:r>
        <w:rPr>
          <w:sz w:val="20"/>
        </w:rPr>
        <w:t xml:space="preserve">@sendgrid/mail  |  email  |  email addresses, email content  |  Contractual necessity / Consent</w:t>
      </w:r>
    </w:p>
    <w:p>
      <w:r>
        <w:rPr>
          <w:sz w:val="20"/>
        </w:rPr>
        <w:t xml:space="preserve">@sentry/nextjs  |  monitoring  |  error data, stack traces, user context, device information, IP address, performance profiles  |  Legitimate interest</w:t>
      </w:r>
    </w:p>
    <w:p>
      <w:r>
        <w:rPr>
          <w:sz w:val="20"/>
        </w:rPr>
        <w:t xml:space="preserve">@upstash/redis  |  database  |  cached data, session data  |  Contractual necessity</w:t>
      </w:r>
    </w:p>
    <w:p>
      <w:r>
        <w:rPr>
          <w:sz w:val="20"/>
        </w:rPr>
        <w:t xml:space="preserve">Google Analytics  |  analytics  |  page views, user behavior, device information, IP address, location data  |  Consent</w:t>
      </w:r>
    </w:p>
    <w:p>
      <w:r>
        <w:rPr>
          <w:sz w:val="20"/>
        </w:rPr>
        <w:t xml:space="preserve">Google Tag Manager  |  analytics  |  page views, user behavior, custom events, device information, third-party tag data  |  Consent</w:t>
      </w:r>
    </w:p>
    <w:p>
      <w:r>
        <w:rPr>
          <w:sz w:val="20"/>
        </w:rPr>
        <w:t xml:space="preserve">google-auth-library  |  auth  |  OAuth tokens, Google profile data, email  |  Contractual necessity</w:t>
      </w:r>
    </w:p>
    <w:p>
      <w:r>
        <w:rPr>
          <w:sz w:val="20"/>
        </w:rPr>
        <w:t xml:space="preserve">googleapis  |  other  |  user data via Google APIs, calendar data, email data, profile information  |  Legitimate interest</w:t>
      </w:r>
    </w:p>
    <w:p>
      <w:r>
        <w:rPr>
          <w:sz w:val="20"/>
        </w:rPr>
        <w:t xml:space="preserve">intercom  |  other  |  user profiles, email, name, conversations, user behavior, company data  |  Legitimate interest</w:t>
      </w:r>
    </w:p>
    <w:p>
      <w:r>
        <w:rPr>
          <w:sz w:val="20"/>
        </w:rPr>
        <w:t xml:space="preserve">ioredis  |  database  |  cached data, session data  |  Contractual necessity</w:t>
      </w:r>
    </w:p>
    <w:p>
      <w:r>
        <w:rPr>
          <w:sz w:val="20"/>
        </w:rPr>
        <w:t xml:space="preserve">next-auth  |  auth  |  email, name, profile picture, OAuth tokens, session data  |  Contractual necessity</w:t>
      </w:r>
    </w:p>
    <w:p>
      <w:r>
        <w:rPr>
          <w:sz w:val="20"/>
        </w:rPr>
        <w:t xml:space="preserve">nodemailer  |  email  |  email addresses, email content  |  Contractual necessity / Consent</w:t>
      </w:r>
    </w:p>
    <w:p>
      <w:r>
        <w:rPr>
          <w:sz w:val="20"/>
        </w:rPr>
        <w:t xml:space="preserve">passport  |  auth  |  email, name, OAuth tokens, session data  |  Contractual necessity</w:t>
      </w:r>
    </w:p>
    <w:p>
      <w:r>
        <w:rPr>
          <w:sz w:val="20"/>
        </w:rPr>
        <w:t xml:space="preserve">Plausible Analytics  |  analytics  |  page views, referrer data, device information  |  Consent</w:t>
      </w:r>
    </w:p>
    <w:p>
      <w:r>
        <w:rPr>
          <w:sz w:val="20"/>
        </w:rPr>
        <w:t xml:space="preserve">PostgreSQL  |  database  |  application data, user records  |  Contractual necessity</w:t>
      </w:r>
    </w:p>
    <w:p>
      <w:r>
        <w:rPr>
          <w:sz w:val="20"/>
        </w:rPr>
        <w:t xml:space="preserve">PostgreSQL (env)  |  database  |  application data, user records  |  Contractual necessity</w:t>
      </w:r>
    </w:p>
    <w:p>
      <w:r>
        <w:rPr>
          <w:sz w:val="20"/>
        </w:rPr>
        <w:t xml:space="preserve">posthog  |  analytics  |  user behavior, session recordings, feature flag usage, device information  |  Consent</w:t>
      </w:r>
    </w:p>
    <w:p>
      <w:r>
        <w:rPr>
          <w:sz w:val="20"/>
        </w:rPr>
        <w:t xml:space="preserve">prisma  |  database  |  user data as defined in schema  |  Contractual necessity</w:t>
      </w:r>
    </w:p>
    <w:p>
      <w:r>
        <w:rPr>
          <w:sz w:val="20"/>
        </w:rPr>
        <w:t xml:space="preserve">Redis  |  database  |  session data, cache data  |  Contractual necessity</w:t>
      </w:r>
    </w:p>
    <w:p>
      <w:r>
        <w:rPr>
          <w:sz w:val="20"/>
        </w:rPr>
        <w:t xml:space="preserve">Redis (env)  |  database  |  session data, cache data  |  Contractual necessity</w:t>
      </w:r>
    </w:p>
    <w:p>
      <w:r>
        <w:rPr>
          <w:sz w:val="20"/>
        </w:rPr>
        <w:t xml:space="preserve">stripe  |  payment  |  payment information, billing address, email, transaction history  |  Contractual necessity</w:t>
      </w:r>
    </w:p>
    <w:p>
      <w:r>
        <w:rPr>
          <w:sz w:val="20"/>
        </w:rPr>
        <w:t xml:space="preserve">twilio  |  other  |  phone numbers, SMS message content, voice call metadata, call recordings  |  Legitimate interest</w:t>
      </w:r>
    </w:p>
    <w:p>
      <w:r>
        <w:rPr>
          <w:sz w:val="20"/>
        </w:rPr>
        <w:t xml:space="preserve">web-push  |  other  |  push subscription endpoints, device tokens, notification content  |  Legitimate interest</w:t>
      </w:r>
    </w:p>
    <w:p>
      <w:pPr>
        <w:pStyle w:val="Heading3"/>
      </w:pPr>
      <w:r>
        <w:t>1.3 Categories of Personal Data</w:t>
      </w:r>
    </w:p>
    <w:p>
      <w:pPr>
        <w:pStyle w:val="ListParagraph"/>
        <w:numPr>
          <w:ilvl w:val="0"/>
          <w:numId w:val="1"/>
        </w:numPr>
      </w:pPr>
      <w:r>
        <w:t xml:space="preserve">**Personal Identity Data:** Email addresses, names, profile pictures, and account credentials collected through authentication. (sources: next-auth, google-auth-library, passport)</w:t>
      </w:r>
    </w:p>
    <w:p>
      <w:pPr>
        <w:pStyle w:val="ListParagraph"/>
        <w:numPr>
          <w:ilvl w:val="0"/>
          <w:numId w:val="1"/>
        </w:numPr>
      </w:pPr>
      <w:r>
        <w:t xml:space="preserve">**Financial Data:** Payment card information, billing addresses, and transaction history processed through payment providers. (sources: stripe)</w:t>
      </w:r>
    </w:p>
    <w:p>
      <w:pPr>
        <w:pStyle w:val="ListParagraph"/>
        <w:numPr>
          <w:ilvl w:val="0"/>
          <w:numId w:val="1"/>
        </w:numPr>
      </w:pPr>
      <w:r>
        <w:t xml:space="preserve">**Usage &amp; Behavioral Data:** Page views, click patterns, session recordings, device information, and IP addresses collected through analytics tools. (sources: posthog, Google Analytics, Google Tag Manager, Plausible Analytics)</w:t>
      </w:r>
    </w:p>
    <w:p>
      <w:pPr>
        <w:pStyle w:val="ListParagraph"/>
        <w:numPr>
          <w:ilvl w:val="0"/>
          <w:numId w:val="1"/>
        </w:numPr>
      </w:pPr>
      <w:r>
        <w:t xml:space="preserve">**Communication Data:** Email addresses and email content processed through email service providers. (sources: nodemailer, @sendgrid/mail)</w:t>
      </w:r>
    </w:p>
    <w:p>
      <w:pPr>
        <w:pStyle w:val="ListParagraph"/>
        <w:numPr>
          <w:ilvl w:val="0"/>
          <w:numId w:val="1"/>
        </w:numPr>
      </w:pPr>
      <w:r>
        <w:t xml:space="preserve">**Technical &amp; Diagnostic Data:** Error reports, stack traces, performance data, and user context collected through monitoring tools. (sources: @sentry/nextjs)</w:t>
      </w:r>
    </w:p>
    <w:p>
      <w:pPr>
        <w:pStyle w:val="ListParagraph"/>
        <w:numPr>
          <w:ilvl w:val="0"/>
          <w:numId w:val="1"/>
        </w:numPr>
      </w:pPr>
      <w:r>
        <w:t xml:space="preserve">**Stored User Data:** Persistent user data stored in databases as defined by the application schema. (sources: ioredis, @upstash/redis, prisma, PostgreSQL (env), Redis (env), PostgreSQL, Redis, Redis (Cache), lru-cache, @prisma/extension-accelerate)</w:t>
      </w:r>
    </w:p>
    <w:p>
      <w:pPr>
        <w:pStyle w:val="ListParagraph"/>
        <w:numPr>
          <w:ilvl w:val="0"/>
          <w:numId w:val="1"/>
        </w:numPr>
      </w:pPr>
      <w:r>
        <w:t xml:space="preserve">**API Data Collection:** 20 API endpoint(s) accepting user data via MUTATION, QUERY requests. Data fields collected: autoOptIn, color, eventTypeIds, feature, featureId, includeSystemRolesOnly, isAll, name, permissions, roleId, routingFormId, slug, surveyId, teamId, userId. (sources: packages/trpc/server/routers/features/_router.ts, packages/trpc/server/routers/viewer/eventTypes/_router.ts, packages/trpc/server/routers/viewer/featureOptIn/_router.ts, packages/trpc/server/routers/viewer/feedback/_router.ts, packages/trpc/server/routers/viewer/insights/_router.ts, packages/trpc/server/routers/viewer/pbac/_router.tsx)</w:t>
      </w:r>
    </w:p>
    <w:p>
      <w:pPr>
        <w:pStyle w:val="Heading3"/>
      </w:pPr>
      <w:r>
        <w:t>1.4 Categories of Data Subjects</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ind w:left="720"/>
      </w:pPr>
      <w:r>
        <w:rPr>
          <w:i/>
          <w:color w:val="666666"/>
        </w:rPr>
        <w:t xml:space="preserve">**Action required:** Review and update the categories of data subjects to reflect your actual processing activities.</w:t>
      </w:r>
    </w:p>
    <w:p>
      <w:pPr>
        <w:pStyle w:val="Heading2"/>
      </w:pPr>
      <w:r>
        <w:t>2. Necessity and Proportionality Assessment</w:t>
      </w:r>
    </w:p>
    <w:p>
      <w:pPr>
        <w:pStyle w:val="Heading3"/>
      </w:pPr>
      <w:r>
        <w:t>2.1 Lawfulness of Processing</w:t>
      </w:r>
    </w:p>
    <w:p>
      <w:r>
        <w:t xml:space="preserve">Each data processing activity must have a valid legal basis under Article 6 GDPR:</w:t>
      </w:r>
    </w:p>
    <w:p>
      <w:r>
        <w:rPr>
          <w:sz w:val="20"/>
        </w:rPr>
        <w:t xml:space="preserve">Processing Activity  |  Legal Basis  |  Justification</w:t>
      </w:r>
    </w:p>
    <w:p>
      <w:r>
        <w:rPr>
          <w:sz w:val="20"/>
        </w:rPr>
        <w:t xml:space="preserve">Data processing via @hubspot/api-client  |  Legitimate interest  |  To be documented based on specific use case</w:t>
      </w:r>
    </w:p>
    <w:p>
      <w:r>
        <w:rPr>
          <w:sz w:val="20"/>
        </w:rPr>
        <w:t xml:space="preserve">Email communications via @sendgrid/mail  |  Contractual necessity / Consent  |  Necessary for service communications; marketing requires separate consent</w:t>
      </w:r>
    </w:p>
    <w:p>
      <w:r>
        <w:rPr>
          <w:sz w:val="20"/>
        </w:rPr>
        <w:t xml:space="preserve">Error/performance monitoring via @sentry/nextjs  |  Legitimate interest  |  Legitimate interest in maintaining service reliability and security</w:t>
      </w:r>
    </w:p>
    <w:p>
      <w:r>
        <w:rPr>
          <w:sz w:val="20"/>
        </w:rPr>
        <w:t xml:space="preserve">Data persistence via @upstash/redis  |  Contractual necessity  |  Necessary to persist user data for service delivery</w:t>
      </w:r>
    </w:p>
    <w:p>
      <w:r>
        <w:rPr>
          <w:sz w:val="20"/>
        </w:rPr>
        <w:t xml:space="preserve">Behavioral analytics via Google Analytics  |  Consent  |  Used to understand usage patterns and improve the service; requires prior consent</w:t>
      </w:r>
    </w:p>
    <w:p>
      <w:r>
        <w:rPr>
          <w:sz w:val="20"/>
        </w:rPr>
        <w:t xml:space="preserve">Behavioral analytics via Google Tag Manager  |  Consent  |  Used to understand usage patterns and improve the service; requires prior consent</w:t>
      </w:r>
    </w:p>
    <w:p>
      <w:r>
        <w:rPr>
          <w:sz w:val="20"/>
        </w:rPr>
        <w:t xml:space="preserve">Authentication via google-auth-library  |  Contractual necessity  |  Necessary to authenticate and maintain user sessions</w:t>
      </w:r>
    </w:p>
    <w:p>
      <w:r>
        <w:rPr>
          <w:sz w:val="20"/>
        </w:rPr>
        <w:t xml:space="preserve">Data processing via googleapis  |  Legitimate interest  |  To be documented based on specific use case</w:t>
      </w:r>
    </w:p>
    <w:p>
      <w:r>
        <w:rPr>
          <w:sz w:val="20"/>
        </w:rPr>
        <w:t xml:space="preserve">Data processing via intercom  |  Legitimate interest  |  To be documented based on specific use case</w:t>
      </w:r>
    </w:p>
    <w:p>
      <w:r>
        <w:rPr>
          <w:sz w:val="20"/>
        </w:rPr>
        <w:t xml:space="preserve">Data persistence via ioredis  |  Contractual necessity  |  Necessary to persist user data for service delivery</w:t>
      </w:r>
    </w:p>
    <w:p>
      <w:r>
        <w:rPr>
          <w:sz w:val="20"/>
        </w:rPr>
        <w:t xml:space="preserve">Authentication via next-auth  |  Contractual necessity  |  Necessary to authenticate and maintain user sessions</w:t>
      </w:r>
    </w:p>
    <w:p>
      <w:r>
        <w:rPr>
          <w:sz w:val="20"/>
        </w:rPr>
        <w:t xml:space="preserve">Email communications via nodemailer  |  Contractual necessity / Consent  |  Necessary for service communications; marketing requires separate consent</w:t>
      </w:r>
    </w:p>
    <w:p>
      <w:r>
        <w:rPr>
          <w:sz w:val="20"/>
        </w:rPr>
        <w:t xml:space="preserve">Authentication via passport  |  Contractual necessity  |  Necessary to authenticate and maintain user sessions</w:t>
      </w:r>
    </w:p>
    <w:p>
      <w:r>
        <w:rPr>
          <w:sz w:val="20"/>
        </w:rPr>
        <w:t xml:space="preserve">Behavioral analytics via Plausible Analytics  |  Consent  |  Used to understand usage patterns and improve the service; requires prior consent</w:t>
      </w:r>
    </w:p>
    <w:p>
      <w:r>
        <w:rPr>
          <w:sz w:val="20"/>
        </w:rPr>
        <w:t xml:space="preserve">Data persistence via PostgreSQL  |  Contractual necessity  |  Necessary to persist user data for service delivery</w:t>
      </w:r>
    </w:p>
    <w:p>
      <w:r>
        <w:rPr>
          <w:sz w:val="20"/>
        </w:rPr>
        <w:t xml:space="preserve">Data persistence via PostgreSQL (env)  |  Contractual necessity  |  Necessary to persist user data for service delivery</w:t>
      </w:r>
    </w:p>
    <w:p>
      <w:r>
        <w:rPr>
          <w:sz w:val="20"/>
        </w:rPr>
        <w:t xml:space="preserve">Behavioral analytics via posthog  |  Consent  |  Used to understand usage patterns and improve the service; requires prior consent</w:t>
      </w:r>
    </w:p>
    <w:p>
      <w:r>
        <w:rPr>
          <w:sz w:val="20"/>
        </w:rPr>
        <w:t xml:space="preserve">Data persistence via prisma  |  Contractual necessity  |  Necessary to persist user data for service delivery</w:t>
      </w:r>
    </w:p>
    <w:p>
      <w:r>
        <w:rPr>
          <w:sz w:val="20"/>
        </w:rPr>
        <w:t xml:space="preserve">Data persistence via Redis  |  Contractual necessity  |  Necessary to persist user data for service delivery</w:t>
      </w:r>
    </w:p>
    <w:p>
      <w:r>
        <w:rPr>
          <w:sz w:val="20"/>
        </w:rPr>
        <w:t xml:space="preserve">Data persistence via Redis (env)  |  Contractual necessity  |  Necessary to persist user data for service delivery</w:t>
      </w:r>
    </w:p>
    <w:p>
      <w:r>
        <w:rPr>
          <w:sz w:val="20"/>
        </w:rPr>
        <w:t xml:space="preserve">Payment processing via stripe  |  Contractual necessity  |  Necessary to process transactions requested by the user</w:t>
      </w:r>
    </w:p>
    <w:p>
      <w:r>
        <w:rPr>
          <w:sz w:val="20"/>
        </w:rPr>
        <w:t xml:space="preserve">Data processing via twilio  |  Legitimate interest  |  To be documented based on specific use case</w:t>
      </w:r>
    </w:p>
    <w:p>
      <w:r>
        <w:rPr>
          <w:sz w:val="20"/>
        </w:rPr>
        <w:t xml:space="preserve">Data processing via web-push  |  Legitimate interest  |  To be documented based on specific use case</w:t>
      </w:r>
    </w:p>
    <w:p>
      <w:pPr>
        <w:pStyle w:val="Heading3"/>
      </w:pPr>
      <w:r>
        <w:t>2.2 Data Minimization</w:t>
      </w:r>
    </w:p>
    <w:p>
      <w:r>
        <w:t xml:space="preserve">The following data minimization measures should be verified:</w:t>
      </w:r>
    </w:p>
    <w:p>
      <w:r>
        <w:t xml:space="preserve">Analytics Services:</w:t>
      </w:r>
    </w:p>
    <w:p>
      <w:pPr>
        <w:pStyle w:val="ListParagraph"/>
        <w:numPr>
          <w:ilvl w:val="0"/>
          <w:numId w:val="1"/>
        </w:numPr>
      </w:pPr>
      <w:r>
        <w:t xml:space="preserve">[ ] IP anonymization is enabled</w:t>
      </w:r>
    </w:p>
    <w:p>
      <w:pPr>
        <w:pStyle w:val="ListParagraph"/>
        <w:numPr>
          <w:ilvl w:val="0"/>
          <w:numId w:val="1"/>
        </w:numPr>
      </w:pPr>
      <w:r>
        <w:t xml:space="preserve">[ ] Only necessary tracking events are collected</w:t>
      </w:r>
    </w:p>
    <w:p>
      <w:pPr>
        <w:pStyle w:val="ListParagraph"/>
        <w:numPr>
          <w:ilvl w:val="0"/>
          <w:numId w:val="1"/>
        </w:numPr>
      </w:pPr>
      <w:r>
        <w:t xml:space="preserve">[ ] Session recording excludes sensitive form fields</w:t>
      </w:r>
    </w:p>
    <w:p>
      <w:pPr>
        <w:pStyle w:val="ListParagraph"/>
        <w:numPr>
          <w:ilvl w:val="0"/>
          <w:numId w:val="1"/>
        </w:numPr>
      </w:pPr>
      <w:r>
        <w:t xml:space="preserve">[ ] Data retention periods are configured to the minimum necessary</w:t>
      </w:r>
    </w:p>
    <w:p>
      <w:pPr>
        <w:pStyle w:val="Heading3"/>
      </w:pPr>
      <w:r>
        <w:t>2.3 Proportionality</w:t>
      </w:r>
    </w:p>
    <w:p>
      <w:pPr>
        <w:pStyle w:val="ListParagraph"/>
        <w:numPr>
          <w:ilvl w:val="0"/>
          <w:numId w:val="1"/>
        </w:numPr>
      </w:pPr>
      <w:r>
        <w:t xml:space="preserve">[ ] The processing is necessary to achieve the stated purpose and cannot be achieved by less intrusive means</w:t>
      </w:r>
    </w:p>
    <w:p>
      <w:pPr>
        <w:pStyle w:val="ListParagraph"/>
        <w:numPr>
          <w:ilvl w:val="0"/>
          <w:numId w:val="1"/>
        </w:numPr>
      </w:pPr>
      <w:r>
        <w:t xml:space="preserve">[ ] The volume of data collected is proportionate to the processing purpose</w:t>
      </w:r>
    </w:p>
    <w:p>
      <w:pPr>
        <w:pStyle w:val="ListParagraph"/>
        <w:numPr>
          <w:ilvl w:val="0"/>
          <w:numId w:val="1"/>
        </w:numPr>
      </w:pPr>
      <w:r>
        <w:t xml:space="preserve">[ ] Data retention periods are limited to what is strictly necessary</w:t>
      </w:r>
    </w:p>
    <w:p>
      <w:pPr>
        <w:pStyle w:val="ListParagraph"/>
        <w:numPr>
          <w:ilvl w:val="0"/>
          <w:numId w:val="1"/>
        </w:numPr>
      </w:pPr>
      <w:r>
        <w:t xml:space="preserve">[ ] Data subjects are clearly informed about the processing</w:t>
      </w:r>
    </w:p>
    <w:p>
      <w:pPr>
        <w:ind w:left="720"/>
      </w:pPr>
      <w:r>
        <w:rPr>
          <w:i/>
          <w:color w:val="666666"/>
        </w:rPr>
        <w:t xml:space="preserve">**Action required:** Document how each processing activity satisfies the necessity and proportionality requirements. Verify that less privacy-intrusive alternatives have been considered.</w:t>
      </w:r>
    </w:p>
    <w:p>
      <w:pPr>
        <w:pStyle w:val="Heading2"/>
      </w:pPr>
      <w:r>
        <w:t>3. Risk Assessment</w:t>
      </w:r>
    </w:p>
    <w:p>
      <w:pPr>
        <w:pStyle w:val="Heading3"/>
      </w:pPr>
      <w:r>
        <w:t>3.1 Methodology</w:t>
      </w:r>
    </w:p>
    <w:p>
      <w:r>
        <w:t xml:space="preserve">Risk is assessed using a likelihood x impact matrix. Each data processing activity is scored on two dimensions:</w:t>
      </w:r>
    </w:p>
    <w:p>
      <w:r>
        <w:t xml:space="preserve">Likelihood (probability of harm occurring):</w:t>
      </w:r>
    </w:p>
    <w:p>
      <w:r>
        <w:rPr>
          <w:sz w:val="20"/>
        </w:rPr>
        <w:t xml:space="preserve">Score  |  Level  |  Description</w:t>
      </w:r>
    </w:p>
    <w:p>
      <w:r>
        <w:rPr>
          <w:sz w:val="20"/>
        </w:rPr>
        <w:t xml:space="preserve">1  |  Unlikely  |  Remote chance of occurrence</w:t>
      </w:r>
    </w:p>
    <w:p>
      <w:r>
        <w:rPr>
          <w:sz w:val="20"/>
        </w:rPr>
        <w:t xml:space="preserve">2  |  Possible  |  Could occur in some circumstances</w:t>
      </w:r>
    </w:p>
    <w:p>
      <w:r>
        <w:rPr>
          <w:sz w:val="20"/>
        </w:rPr>
        <w:t xml:space="preserve">3  |  Likely  |  Will probably occur</w:t>
      </w:r>
    </w:p>
    <w:p>
      <w:r>
        <w:rPr>
          <w:sz w:val="20"/>
        </w:rPr>
        <w:t xml:space="preserve">4  |  Almost Certain  |  Expected to occur in most circumstances</w:t>
      </w:r>
    </w:p>
    <w:p>
      <w:r>
        <w:t xml:space="preserve">Impact (severity of harm to data subjects):</w:t>
      </w:r>
    </w:p>
    <w:p>
      <w:r>
        <w:rPr>
          <w:sz w:val="20"/>
        </w:rPr>
        <w:t xml:space="preserve">Score  |  Level  |  Description</w:t>
      </w:r>
    </w:p>
    <w:p>
      <w:r>
        <w:rPr>
          <w:sz w:val="20"/>
        </w:rPr>
        <w:t xml:space="preserve">1  |  Negligible  |  Minor inconvenience, easily recoverable</w:t>
      </w:r>
    </w:p>
    <w:p>
      <w:r>
        <w:rPr>
          <w:sz w:val="20"/>
        </w:rPr>
        <w:t xml:space="preserve">2  |  Limited  |  Some damage, recoverable with effort</w:t>
      </w:r>
    </w:p>
    <w:p>
      <w:r>
        <w:rPr>
          <w:sz w:val="20"/>
        </w:rPr>
        <w:t xml:space="preserve">3  |  Significant  |  Serious harm, difficult to recover</w:t>
      </w:r>
    </w:p>
    <w:p>
      <w:r>
        <w:rPr>
          <w:sz w:val="20"/>
        </w:rPr>
        <w:t xml:space="preserve">4  |  Maximum  |  Irreversible or very serious harm</w:t>
      </w:r>
    </w:p>
    <w:p>
      <w:r>
        <w:t xml:space="preserve">Risk Rating: Likelihood x Impact</w:t>
      </w:r>
    </w:p>
    <w:p>
      <w:r>
        <w:rPr>
          <w:sz w:val="20"/>
        </w:rPr>
        <w:t xml:space="preserve">Rating  |  Score Range  |  Action Required</w:t>
      </w:r>
    </w:p>
    <w:p>
      <w:r>
        <w:rPr>
          <w:sz w:val="20"/>
        </w:rPr>
        <w:t xml:space="preserve">Low  |  1-4  |  Accept with standard controls</w:t>
      </w:r>
    </w:p>
    <w:p>
      <w:r>
        <w:rPr>
          <w:sz w:val="20"/>
        </w:rPr>
        <w:t xml:space="preserve">Medium  |  5-8  |  Mitigate with additional controls</w:t>
      </w:r>
    </w:p>
    <w:p>
      <w:r>
        <w:rPr>
          <w:sz w:val="20"/>
        </w:rPr>
        <w:t xml:space="preserve">High  |  9-12  |  Significant mitigation required before processing</w:t>
      </w:r>
    </w:p>
    <w:p>
      <w:r>
        <w:rPr>
          <w:sz w:val="20"/>
        </w:rPr>
        <w:t xml:space="preserve">Critical  |  13-16  |  Must not proceed without DPA consultation and substantial mitigation</w:t>
      </w:r>
    </w:p>
    <w:p>
      <w:pPr>
        <w:pStyle w:val="Heading3"/>
      </w:pPr>
      <w:r>
        <w:t>3.2 Risk Assessment Results</w:t>
      </w:r>
    </w:p>
    <w:p>
      <w:r>
        <w:rPr>
          <w:sz w:val="20"/>
        </w:rPr>
        <w:t xml:space="preserve">#  |  Processing Activity  |  Data Processed  |  Likelihood  |  Impact  |  Score  |  Rating</w:t>
      </w:r>
    </w:p>
    <w:p>
      <w:r>
        <w:rPr>
          <w:sz w:val="20"/>
        </w:rPr>
        <w:t xml:space="preserve">1  |  Data processing via @hubspot/api-client  |  contact information, email addresses, names, phone numbers, company data, deal information, engagement history  |  1 (Unlikely)  |  3 (Significant)  |  **3**  |  **Low**</w:t>
      </w:r>
    </w:p>
    <w:p>
      <w:r>
        <w:rPr>
          <w:sz w:val="20"/>
        </w:rPr>
        <w:t xml:space="preserve">2  |  Email communications via @sendgrid/mail  |  email addresses, email content  |  2 (Possible)  |  2 (Limited)  |  **4**  |  **Low**</w:t>
      </w:r>
    </w:p>
    <w:p>
      <w:r>
        <w:rPr>
          <w:sz w:val="20"/>
        </w:rPr>
        <w:t xml:space="preserve">3  |  Error/performance monitoring via @sentry/nextjs  |  error data, stack traces, user context, device information, IP address, performance profiles  |  2 (Possible)  |  2 (Limited)  |  **4**  |  **Low**</w:t>
      </w:r>
    </w:p>
    <w:p>
      <w:r>
        <w:rPr>
          <w:sz w:val="20"/>
        </w:rPr>
        <w:t xml:space="preserve">4  |  Data persistence via @upstash/redis  |  cached data, session data  |  2 (Possible)  |  3 (Significant)  |  **6**  |  **Medium**</w:t>
      </w:r>
    </w:p>
    <w:p>
      <w:r>
        <w:rPr>
          <w:sz w:val="20"/>
        </w:rPr>
        <w:t xml:space="preserve">5  |  Behavioral analytics via Google Analytics  |  page views, user behavior, device information, IP address, location data  |  3 (Likely)  |  2 (Limited)  |  **6**  |  **Medium**</w:t>
      </w:r>
    </w:p>
    <w:p>
      <w:r>
        <w:rPr>
          <w:sz w:val="20"/>
        </w:rPr>
        <w:t xml:space="preserve">6  |  Behavioral analytics via Google Tag Manager  |  page views, user behavior, custom events, device information, third-party tag data  |  3 (Likely)  |  2 (Limited)  |  **6**  |  **Medium**</w:t>
      </w:r>
    </w:p>
    <w:p>
      <w:r>
        <w:rPr>
          <w:sz w:val="20"/>
        </w:rPr>
        <w:t xml:space="preserve">7  |  Authentication via google-auth-library  |  OAuth tokens, Google profile data, email  |  2 (Possible)  |  3 (Significant)  |  **6**  |  **Medium**</w:t>
      </w:r>
    </w:p>
    <w:p>
      <w:r>
        <w:rPr>
          <w:sz w:val="20"/>
        </w:rPr>
        <w:t xml:space="preserve">8  |  Data processing via googleapis  |  user data via Google APIs, calendar data, email data, profile information  |  1 (Unlikely)  |  2 (Limited)  |  **2**  |  **Low**</w:t>
      </w:r>
    </w:p>
    <w:p>
      <w:r>
        <w:rPr>
          <w:sz w:val="20"/>
        </w:rPr>
        <w:t xml:space="preserve">9  |  Data processing via intercom  |  user profiles, email, name, conversations, user behavior, company data  |  1 (Unlikely)  |  2 (Limited)  |  **2**  |  **Low**</w:t>
      </w:r>
    </w:p>
    <w:p>
      <w:r>
        <w:rPr>
          <w:sz w:val="20"/>
        </w:rPr>
        <w:t xml:space="preserve">10  |  Data persistence via ioredis  |  cached data, session data  |  2 (Possible)  |  3 (Significant)  |  **6**  |  **Medium**</w:t>
      </w:r>
    </w:p>
    <w:p>
      <w:r>
        <w:rPr>
          <w:sz w:val="20"/>
        </w:rPr>
        <w:t xml:space="preserve">11  |  Authentication via next-auth  |  email, name, profile picture, OAuth tokens, session data  |  2 (Possible)  |  3 (Significant)  |  **6**  |  **Medium**</w:t>
      </w:r>
    </w:p>
    <w:p>
      <w:r>
        <w:rPr>
          <w:sz w:val="20"/>
        </w:rPr>
        <w:t xml:space="preserve">12  |  Email communications via nodemailer  |  email addresses, email content  |  2 (Possible)  |  2 (Limited)  |  **4**  |  **Low**</w:t>
      </w:r>
    </w:p>
    <w:p>
      <w:r>
        <w:rPr>
          <w:sz w:val="20"/>
        </w:rPr>
        <w:t xml:space="preserve">13  |  Authentication via passport  |  email, name, OAuth tokens, session data  |  2 (Possible)  |  3 (Significant)  |  **6**  |  **Medium**</w:t>
      </w:r>
    </w:p>
    <w:p>
      <w:r>
        <w:rPr>
          <w:sz w:val="20"/>
        </w:rPr>
        <w:t xml:space="preserve">14  |  Behavioral analytics via Plausible Analytics  |  page views, referrer data, device information  |  3 (Likely)  |  1 (Negligible)  |  **3**  |  **Low**</w:t>
      </w:r>
    </w:p>
    <w:p>
      <w:r>
        <w:rPr>
          <w:sz w:val="20"/>
        </w:rPr>
        <w:t xml:space="preserve">15  |  Data persistence via PostgreSQL  |  application data, user records  |  2 (Possible)  |  1 (Negligible)  |  **2**  |  **Low**</w:t>
      </w:r>
    </w:p>
    <w:p>
      <w:r>
        <w:rPr>
          <w:sz w:val="20"/>
        </w:rPr>
        <w:t xml:space="preserve">16  |  Data persistence via PostgreSQL (env)  |  application data, user records  |  2 (Possible)  |  1 (Negligible)  |  **2**  |  **Low**</w:t>
      </w:r>
    </w:p>
    <w:p>
      <w:r>
        <w:rPr>
          <w:sz w:val="20"/>
        </w:rPr>
        <w:t xml:space="preserve">17  |  Behavioral analytics via posthog  |  user behavior, session recordings, feature flag usage, device information  |  3 (Likely)  |  3 (Significant)  |  **9**  |  **High**</w:t>
      </w:r>
    </w:p>
    <w:p>
      <w:r>
        <w:rPr>
          <w:sz w:val="20"/>
        </w:rPr>
        <w:t xml:space="preserve">18  |  Data persistence via prisma  |  user data as defined in schema  |  2 (Possible)  |  1 (Negligible)  |  **2**  |  **Low**</w:t>
      </w:r>
    </w:p>
    <w:p>
      <w:r>
        <w:rPr>
          <w:sz w:val="20"/>
        </w:rPr>
        <w:t xml:space="preserve">19  |  Data persistence via Redis  |  session data, cache data  |  2 (Possible)  |  3 (Significant)  |  **6**  |  **Medium**</w:t>
      </w:r>
    </w:p>
    <w:p>
      <w:r>
        <w:rPr>
          <w:sz w:val="20"/>
        </w:rPr>
        <w:t xml:space="preserve">20  |  Data persistence via Redis (env)  |  session data, cache data  |  2 (Possible)  |  3 (Significant)  |  **6**  |  **Medium**</w:t>
      </w:r>
    </w:p>
    <w:p>
      <w:r>
        <w:rPr>
          <w:sz w:val="20"/>
        </w:rPr>
        <w:t xml:space="preserve">21  |  Payment processing via stripe  |  payment information, billing address, email, transaction history  |  2 (Possible)  |  4 (Maximum)  |  **8**  |  **Medium**</w:t>
      </w:r>
    </w:p>
    <w:p>
      <w:r>
        <w:rPr>
          <w:sz w:val="20"/>
        </w:rPr>
        <w:t xml:space="preserve">22  |  Data processing via twilio  |  phone numbers, SMS message content, voice call metadata, call recordings  |  1 (Unlikely)  |  3 (Significant)  |  **3**  |  **Low**</w:t>
      </w:r>
    </w:p>
    <w:p>
      <w:r>
        <w:rPr>
          <w:sz w:val="20"/>
        </w:rPr>
        <w:t xml:space="preserve">23  |  Data processing via web-push  |  push subscription endpoints, device tokens, notification content  |  1 (Unlikely)  |  1 (Negligible)  |  **1**  |  **Low**</w:t>
      </w:r>
    </w:p>
    <w:p>
      <w:pPr>
        <w:pStyle w:val="Heading3"/>
      </w:pPr>
      <w:r>
        <w:t>3.3 Risk Summary</w:t>
      </w:r>
    </w:p>
    <w:p>
      <w:r>
        <w:rPr>
          <w:sz w:val="20"/>
        </w:rPr>
        <w:t xml:space="preserve">Rating  |  Count</w:t>
      </w:r>
    </w:p>
    <w:p>
      <w:r>
        <w:rPr>
          <w:sz w:val="20"/>
        </w:rPr>
        <w:t xml:space="preserve">Critical  |  0</w:t>
      </w:r>
    </w:p>
    <w:p>
      <w:r>
        <w:rPr>
          <w:sz w:val="20"/>
        </w:rPr>
        <w:t xml:space="preserve">High  |  1</w:t>
      </w:r>
    </w:p>
    <w:p>
      <w:r>
        <w:rPr>
          <w:sz w:val="20"/>
        </w:rPr>
        <w:t xml:space="preserve">Medium  |  10</w:t>
      </w:r>
    </w:p>
    <w:p>
      <w:r>
        <w:rPr>
          <w:sz w:val="20"/>
        </w:rPr>
        <w:t xml:space="preserve">Low  |  12</w:t>
      </w:r>
    </w:p>
    <w:p>
      <w:r>
        <w:rPr>
          <w:sz w:val="20"/>
        </w:rPr>
        <w:t xml:space="preserve">**Total**  |  **23**</w:t>
      </w:r>
    </w:p>
    <w:p>
      <w:pPr>
        <w:pStyle w:val="Heading2"/>
      </w:pPr>
      <w:r>
        <w:t>4. High-Risk Processing Triggers</w:t>
      </w:r>
    </w:p>
    <w:p>
      <w:r>
        <w:t xml:space="preserve">Article 35(3) GDPR and the EDPB Guidelines on DPIAs identify specific types of processing that are likely to result in high risk. The following assessment is based on detected services:</w:t>
      </w:r>
    </w:p>
    <w:p>
      <w:r>
        <w:rPr>
          <w:sz w:val="20"/>
        </w:rPr>
        <w:t xml:space="preserve">Trigger  |  Status  |  Description</w:t>
      </w:r>
    </w:p>
    <w:p>
      <w:r>
        <w:rPr>
          <w:sz w:val="20"/>
        </w:rPr>
        <w:t xml:space="preserve">Large-Scale Profiling  |  **TRIGGERED**  |  Systematic evaluation of personal aspects based on automated processing, including profiling (Art. 35(3)(a))</w:t>
      </w:r>
    </w:p>
    <w:p>
      <w:r>
        <w:rPr>
          <w:sz w:val="20"/>
        </w:rPr>
        <w:t xml:space="preserve">Systematic Monitoring  |  **TRIGGERED**  |  Systematic monitoring of a publicly accessible area on a large scale (Art. 35(3)(c))</w:t>
      </w:r>
    </w:p>
    <w:p>
      <w:r>
        <w:rPr>
          <w:sz w:val="20"/>
        </w:rPr>
        <w:t xml:space="preserve">Sensitive / Special Category Data  |  **Not detected**  |  Processing of special categories of data on a large scale (Art. 35(3)(b))</w:t>
      </w:r>
    </w:p>
    <w:p>
      <w:r>
        <w:rPr>
          <w:sz w:val="20"/>
        </w:rPr>
        <w:t xml:space="preserve">AI-Powered Decision Making  |  **Not detected**  |  Automated decision-making with legal or similarly significant effects, including AI inference and content generation (Art. 22 GDPR)</w:t>
      </w:r>
    </w:p>
    <w:p>
      <w:pPr>
        <w:ind w:left="720"/>
      </w:pPr>
      <w:r>
        <w:rPr>
          <w:i/>
          <w:color w:val="666666"/>
        </w:rPr>
        <w:t xml:space="preserve">**2 high-risk trigger(s) detected.** This DPIA is mandatory under Article 35 GDPR. Multiple triggers increase the overall risk profile.</w:t>
      </w:r>
    </w:p>
    <w:p>
      <w:pPr>
        <w:pStyle w:val="Heading2"/>
      </w:pPr>
      <w:r>
        <w:t>5. Data Flow Diagram</w:t>
      </w:r>
    </w:p>
    <w:p>
      <w:r>
        <w:t xml:space="preserve">A detailed data flow map showing how personal data is collected, stored, processed, and shared across all integrated services is available in the companion document:</w:t>
      </w:r>
    </w:p>
    <w:p>
      <w:pPr>
        <w:ind w:left="720"/>
      </w:pPr>
      <w:r>
        <w:rPr>
          <w:i/>
          <w:color w:val="666666"/>
        </w:rPr>
        <w:t xml:space="preserve">**See [DATA_FLOW_MAP.md](./DATA_FLOW_MAP.md)** for the complete data flow diagram.</w:t>
      </w:r>
    </w:p>
    <w:p>
      <w:r>
        <w:t xml:space="preserve">The data flow map covers:</w:t>
      </w:r>
    </w:p>
    <w:p>
      <w:pPr>
        <w:pStyle w:val="ListParagraph"/>
        <w:numPr>
          <w:ilvl w:val="0"/>
          <w:numId w:val="1"/>
        </w:numPr>
      </w:pPr>
      <w:r>
        <w:t xml:space="preserve">**Collection points:** How and where personal data enters the system</w:t>
      </w:r>
    </w:p>
    <w:p>
      <w:pPr>
        <w:pStyle w:val="ListParagraph"/>
        <w:numPr>
          <w:ilvl w:val="0"/>
          <w:numId w:val="1"/>
        </w:numPr>
      </w:pPr>
      <w:r>
        <w:t xml:space="preserve">**Storage locations:** Where personal data is persisted</w:t>
      </w:r>
    </w:p>
    <w:p>
      <w:pPr>
        <w:pStyle w:val="ListParagraph"/>
        <w:numPr>
          <w:ilvl w:val="0"/>
          <w:numId w:val="1"/>
        </w:numPr>
      </w:pPr>
      <w:r>
        <w:t xml:space="preserve">**Sharing / third-party transfers:** Which services receive personal data and for what purpose</w:t>
      </w:r>
    </w:p>
    <w:p>
      <w:pPr>
        <w:pStyle w:val="ListParagraph"/>
        <w:numPr>
          <w:ilvl w:val="0"/>
          <w:numId w:val="1"/>
        </w:numPr>
      </w:pPr>
      <w:r>
        <w:t xml:space="preserve">**Cross-border transfers:** Data flows outside the EEA</w:t>
      </w:r>
    </w:p>
    <w:p>
      <w:pPr>
        <w:pStyle w:val="Heading2"/>
      </w:pPr>
      <w:r>
        <w:t>6. Risk Mitigation Measures</w:t>
      </w:r>
    </w:p>
    <w:p>
      <w:r>
        <w:t xml:space="preserve">The following mitigation measures are recommended for each category of data processing activity detected in the application:</w:t>
      </w:r>
    </w:p>
    <w:p>
      <w:pPr>
        <w:pStyle w:val="Heading3"/>
      </w:pPr>
      <w:r>
        <w:t>6.1 Other (@hubspot/api-client, googleapis, intercom, twilio, web-push)</w:t>
      </w:r>
    </w:p>
    <w:p>
      <w:r>
        <w:t xml:space="preserve">Current risk rating: Low</w:t>
      </w:r>
    </w:p>
    <w:p>
      <w:r>
        <w:t xml:space="preserve">Recommended measures:</w:t>
      </w:r>
    </w:p>
    <w:p>
      <w:pPr>
        <w:pStyle w:val="ListParagraph"/>
        <w:numPr>
          <w:ilvl w:val="0"/>
          <w:numId w:val="1"/>
        </w:numPr>
      </w:pPr>
      <w:r>
        <w:t xml:space="preserve">[ ] Review data processing activities and apply data minimization</w:t>
      </w:r>
    </w:p>
    <w:p>
      <w:pPr>
        <w:pStyle w:val="ListParagraph"/>
        <w:numPr>
          <w:ilvl w:val="0"/>
          <w:numId w:val="1"/>
        </w:numPr>
      </w:pPr>
      <w:r>
        <w:t xml:space="preserve">[ ] Ensure appropriate DPAs are in place with the service provider</w:t>
      </w:r>
    </w:p>
    <w:p>
      <w:pPr>
        <w:pStyle w:val="ListParagraph"/>
        <w:numPr>
          <w:ilvl w:val="0"/>
          <w:numId w:val="1"/>
        </w:numPr>
      </w:pPr>
      <w:r>
        <w:t xml:space="preserve">[ ] Conduct periodic reviews of necessity and proportionality</w:t>
      </w:r>
    </w:p>
    <w:p>
      <w:pPr>
        <w:pStyle w:val="Heading3"/>
      </w:pPr>
      <w:r>
        <w:t>6.2 Email (@sendgrid/mail, nodemailer)</w:t>
      </w:r>
    </w:p>
    <w:p>
      <w:r>
        <w:t xml:space="preserve">Current risk rating: Low</w:t>
      </w:r>
    </w:p>
    <w:p>
      <w:r>
        <w:t xml:space="preserve">Recommended measures:</w:t>
      </w:r>
    </w:p>
    <w:p>
      <w:pPr>
        <w:pStyle w:val="ListParagraph"/>
        <w:numPr>
          <w:ilvl w:val="0"/>
          <w:numId w:val="1"/>
        </w:numPr>
      </w:pPr>
      <w:r>
        <w:t xml:space="preserve">[ ] Use transactional email only for necessary communications</w:t>
      </w:r>
    </w:p>
    <w:p>
      <w:pPr>
        <w:pStyle w:val="ListParagraph"/>
        <w:numPr>
          <w:ilvl w:val="0"/>
          <w:numId w:val="1"/>
        </w:numPr>
      </w:pPr>
      <w:r>
        <w:t xml:space="preserve">[ ] Implement unsubscribe mechanisms for marketing emails</w:t>
      </w:r>
    </w:p>
    <w:p>
      <w:pPr>
        <w:pStyle w:val="ListParagraph"/>
        <w:numPr>
          <w:ilvl w:val="0"/>
          <w:numId w:val="1"/>
        </w:numPr>
      </w:pPr>
      <w:r>
        <w:t xml:space="preserve">[ ] Avoid embedding tracking pixels where not strictly necessary</w:t>
      </w:r>
    </w:p>
    <w:p>
      <w:pPr>
        <w:pStyle w:val="ListParagraph"/>
        <w:numPr>
          <w:ilvl w:val="0"/>
          <w:numId w:val="1"/>
        </w:numPr>
      </w:pPr>
      <w:r>
        <w:t xml:space="preserve">[ ] Ensure email provider DPA is in place</w:t>
      </w:r>
    </w:p>
    <w:p>
      <w:pPr>
        <w:pStyle w:val="Heading3"/>
      </w:pPr>
      <w:r>
        <w:t>6.3 Monitoring (@sentry/nextjs)</w:t>
      </w:r>
    </w:p>
    <w:p>
      <w:r>
        <w:t xml:space="preserve">Current risk rating: Low</w:t>
      </w:r>
    </w:p>
    <w:p>
      <w:r>
        <w:t xml:space="preserve">Recommended measures:</w:t>
      </w:r>
    </w:p>
    <w:p>
      <w:pPr>
        <w:pStyle w:val="ListParagraph"/>
        <w:numPr>
          <w:ilvl w:val="0"/>
          <w:numId w:val="1"/>
        </w:numPr>
      </w:pPr>
      <w:r>
        <w:t xml:space="preserve">[ ] Configure PII scrubbing in error reports and stack traces</w:t>
      </w:r>
    </w:p>
    <w:p>
      <w:pPr>
        <w:pStyle w:val="ListParagraph"/>
        <w:numPr>
          <w:ilvl w:val="0"/>
          <w:numId w:val="1"/>
        </w:numPr>
      </w:pPr>
      <w:r>
        <w:t xml:space="preserve">[ ] Limit user context attached to monitoring events</w:t>
      </w:r>
    </w:p>
    <w:p>
      <w:pPr>
        <w:pStyle w:val="ListParagraph"/>
        <w:numPr>
          <w:ilvl w:val="0"/>
          <w:numId w:val="1"/>
        </w:numPr>
      </w:pPr>
      <w:r>
        <w:t xml:space="preserve">[ ] Set appropriate data retention periods for monitoring data</w:t>
      </w:r>
    </w:p>
    <w:p>
      <w:pPr>
        <w:pStyle w:val="ListParagraph"/>
        <w:numPr>
          <w:ilvl w:val="0"/>
          <w:numId w:val="1"/>
        </w:numPr>
      </w:pPr>
      <w:r>
        <w:t xml:space="preserve">[ ] Restrict access to monitoring dashboards to authorized personnel</w:t>
      </w:r>
    </w:p>
    <w:p>
      <w:pPr>
        <w:pStyle w:val="Heading3"/>
      </w:pPr>
      <w:r>
        <w:t>6.4 Database (@upstash/redis, ioredis, PostgreSQL, PostgreSQL (env), prisma, Redis, Redis (env))</w:t>
      </w:r>
    </w:p>
    <w:p>
      <w:r>
        <w:t xml:space="preserve">Current risk rating: Medium</w:t>
      </w:r>
    </w:p>
    <w:p>
      <w:r>
        <w:t xml:space="preserve">Recommended measures:</w:t>
      </w:r>
    </w:p>
    <w:p>
      <w:pPr>
        <w:pStyle w:val="ListParagraph"/>
        <w:numPr>
          <w:ilvl w:val="0"/>
          <w:numId w:val="1"/>
        </w:numPr>
      </w:pPr>
      <w:r>
        <w:t xml:space="preserve">[ ] Encrypt sensitive fields at the application level</w:t>
      </w:r>
    </w:p>
    <w:p>
      <w:pPr>
        <w:pStyle w:val="ListParagraph"/>
        <w:numPr>
          <w:ilvl w:val="0"/>
          <w:numId w:val="1"/>
        </w:numPr>
      </w:pPr>
      <w:r>
        <w:t xml:space="preserve">[ ] Implement role-based access controls for database access</w:t>
      </w:r>
    </w:p>
    <w:p>
      <w:pPr>
        <w:pStyle w:val="ListParagraph"/>
        <w:numPr>
          <w:ilvl w:val="0"/>
          <w:numId w:val="1"/>
        </w:numPr>
      </w:pPr>
      <w:r>
        <w:t xml:space="preserve">[ ] Enable audit logging for data access and modifications</w:t>
      </w:r>
    </w:p>
    <w:p>
      <w:pPr>
        <w:pStyle w:val="ListParagraph"/>
        <w:numPr>
          <w:ilvl w:val="0"/>
          <w:numId w:val="1"/>
        </w:numPr>
      </w:pPr>
      <w:r>
        <w:t xml:space="preserve">[ ] Establish and enforce data retention schedules</w:t>
      </w:r>
    </w:p>
    <w:p>
      <w:pPr>
        <w:pStyle w:val="Heading3"/>
      </w:pPr>
      <w:r>
        <w:t>6.5 Analytics (Google Analytics, Google Tag Manager, Plausible Analytics, posthog)</w:t>
      </w:r>
    </w:p>
    <w:p>
      <w:r>
        <w:t xml:space="preserve">Current risk rating: High</w:t>
      </w:r>
    </w:p>
    <w:p>
      <w:r>
        <w:t xml:space="preserve">Recommended measures:</w:t>
      </w:r>
    </w:p>
    <w:p>
      <w:pPr>
        <w:pStyle w:val="ListParagraph"/>
        <w:numPr>
          <w:ilvl w:val="0"/>
          <w:numId w:val="1"/>
        </w:numPr>
      </w:pPr>
      <w:r>
        <w:t xml:space="preserve">[ ] Enable IP anonymization / pseudonymization where available</w:t>
      </w:r>
    </w:p>
    <w:p>
      <w:pPr>
        <w:pStyle w:val="ListParagraph"/>
        <w:numPr>
          <w:ilvl w:val="0"/>
          <w:numId w:val="1"/>
        </w:numPr>
      </w:pPr>
      <w:r>
        <w:t xml:space="preserve">[ ] Implement cookie consent management with granular opt-in/opt-out</w:t>
      </w:r>
    </w:p>
    <w:p>
      <w:pPr>
        <w:pStyle w:val="ListParagraph"/>
        <w:numPr>
          <w:ilvl w:val="0"/>
          <w:numId w:val="1"/>
        </w:numPr>
      </w:pPr>
      <w:r>
        <w:t xml:space="preserve">[ ] Configure data retention limits within the analytics platform</w:t>
      </w:r>
    </w:p>
    <w:p>
      <w:pPr>
        <w:pStyle w:val="ListParagraph"/>
        <w:numPr>
          <w:ilvl w:val="0"/>
          <w:numId w:val="1"/>
        </w:numPr>
      </w:pPr>
      <w:r>
        <w:t xml:space="preserve">[ ] Limit collection to strictly necessary data points</w:t>
      </w:r>
    </w:p>
    <w:p>
      <w:pPr>
        <w:pStyle w:val="ListParagraph"/>
        <w:numPr>
          <w:ilvl w:val="0"/>
          <w:numId w:val="1"/>
        </w:numPr>
      </w:pPr>
      <w:r>
        <w:t xml:space="preserve">[ ] Disable session recordings for authenticated areas with sensitive data</w:t>
      </w:r>
    </w:p>
    <w:p>
      <w:pPr>
        <w:pStyle w:val="ListParagraph"/>
        <w:numPr>
          <w:ilvl w:val="0"/>
          <w:numId w:val="1"/>
        </w:numPr>
      </w:pPr>
      <w:r>
        <w:t xml:space="preserve">[ ] Conduct regular data minimization reviews</w:t>
      </w:r>
    </w:p>
    <w:p>
      <w:pPr>
        <w:pStyle w:val="Heading3"/>
      </w:pPr>
      <w:r>
        <w:t>6.6 Auth (google-auth-library, next-auth, passport)</w:t>
      </w:r>
    </w:p>
    <w:p>
      <w:r>
        <w:t xml:space="preserve">Current risk rating: Medium</w:t>
      </w:r>
    </w:p>
    <w:p>
      <w:r>
        <w:t xml:space="preserve">Recommended measures:</w:t>
      </w:r>
    </w:p>
    <w:p>
      <w:pPr>
        <w:pStyle w:val="ListParagraph"/>
        <w:numPr>
          <w:ilvl w:val="0"/>
          <w:numId w:val="1"/>
        </w:numPr>
      </w:pPr>
      <w:r>
        <w:t xml:space="preserve">[ ] Enforce strong password policies or passwordless authentication</w:t>
      </w:r>
    </w:p>
    <w:p>
      <w:pPr>
        <w:pStyle w:val="ListParagraph"/>
        <w:numPr>
          <w:ilvl w:val="0"/>
          <w:numId w:val="1"/>
        </w:numPr>
      </w:pPr>
      <w:r>
        <w:t xml:space="preserve">[ ] Implement multi-factor authentication (MFA)</w:t>
      </w:r>
    </w:p>
    <w:p>
      <w:pPr>
        <w:pStyle w:val="ListParagraph"/>
        <w:numPr>
          <w:ilvl w:val="0"/>
          <w:numId w:val="1"/>
        </w:numPr>
      </w:pPr>
      <w:r>
        <w:t xml:space="preserve">[ ] Minimize profile data collected during registration</w:t>
      </w:r>
    </w:p>
    <w:p>
      <w:pPr>
        <w:pStyle w:val="ListParagraph"/>
        <w:numPr>
          <w:ilvl w:val="0"/>
          <w:numId w:val="1"/>
        </w:numPr>
      </w:pPr>
      <w:r>
        <w:t xml:space="preserve">[ ] Regularly rotate and securely store OAuth tokens and secrets</w:t>
      </w:r>
    </w:p>
    <w:p>
      <w:pPr>
        <w:pStyle w:val="Heading3"/>
      </w:pPr>
      <w:r>
        <w:t>6.7 Payment (stripe)</w:t>
      </w:r>
    </w:p>
    <w:p>
      <w:r>
        <w:t xml:space="preserve">Current risk rating: Medium</w:t>
      </w:r>
    </w:p>
    <w:p>
      <w:r>
        <w:t xml:space="preserve">Recommended measures:</w:t>
      </w:r>
    </w:p>
    <w:p>
      <w:pPr>
        <w:pStyle w:val="ListParagraph"/>
        <w:numPr>
          <w:ilvl w:val="0"/>
          <w:numId w:val="1"/>
        </w:numPr>
      </w:pPr>
      <w:r>
        <w:t xml:space="preserve">[ ] Use tokenization to avoid direct handling of payment card data</w:t>
      </w:r>
    </w:p>
    <w:p>
      <w:pPr>
        <w:pStyle w:val="ListParagraph"/>
        <w:numPr>
          <w:ilvl w:val="0"/>
          <w:numId w:val="1"/>
        </w:numPr>
      </w:pPr>
      <w:r>
        <w:t xml:space="preserve">[ ] Ensure PCI DSS compliance through the payment processor</w:t>
      </w:r>
    </w:p>
    <w:p>
      <w:pPr>
        <w:pStyle w:val="ListParagraph"/>
        <w:numPr>
          <w:ilvl w:val="0"/>
          <w:numId w:val="1"/>
        </w:numPr>
      </w:pPr>
      <w:r>
        <w:t xml:space="preserve">[ ] Limit stored payment data to transaction references only</w:t>
      </w:r>
    </w:p>
    <w:p>
      <w:pPr>
        <w:pStyle w:val="ListParagraph"/>
        <w:numPr>
          <w:ilvl w:val="0"/>
          <w:numId w:val="1"/>
        </w:numPr>
      </w:pPr>
      <w:r>
        <w:t xml:space="preserve">[ ] Implement strong authentication for payment-related actions</w:t>
      </w:r>
    </w:p>
    <w:p>
      <w:pPr>
        <w:pStyle w:val="Heading2"/>
      </w:pPr>
      <w:r>
        <w:t>7. Consultation Requirements</w:t>
      </w:r>
    </w:p>
    <w:p>
      <w:pPr>
        <w:pStyle w:val="Heading3"/>
      </w:pPr>
      <w:r>
        <w:t>7.1 Data Protection Authority Consultation (Art. 36 GDPR)</w:t>
      </w:r>
    </w:p>
    <w:p>
      <w:r>
        <w:t xml:space="preserve">Under Article 36 GDPR, the controller must consult the supervisory authority prior to processing where a DPIA indicates that the processing would result in a high risk in the absence of measures taken by the controller to mitigate the risk.</w:t>
      </w:r>
    </w:p>
    <w:p>
      <w:r>
        <w:t xml:space="preserve">Consultation required: YES — Based on the risk assessment, consultation with your Data Protection Authority is recommended before proceeding with processing.</w:t>
      </w:r>
    </w:p>
    <w:p>
      <w:pPr>
        <w:pStyle w:val="Heading3"/>
      </w:pPr>
      <w:r>
        <w:t>7.2 When to Consult</w:t>
      </w:r>
    </w:p>
    <w:p>
      <w:r>
        <w:t xml:space="preserve">You should consult your supervisory authority when:</w:t>
      </w:r>
    </w:p>
    <w:p>
      <w:pPr>
        <w:pStyle w:val="ListParagraph"/>
        <w:numPr>
          <w:ilvl w:val="0"/>
          <w:numId w:val="2"/>
        </w:numPr>
      </w:pPr>
      <w:r>
        <w:t xml:space="preserve">The DPIA indicates that processing would result in a high risk that cannot be sufficiently mitigated</w:t>
      </w:r>
    </w:p>
    <w:p>
      <w:pPr>
        <w:pStyle w:val="ListParagraph"/>
        <w:numPr>
          <w:ilvl w:val="0"/>
          <w:numId w:val="2"/>
        </w:numPr>
      </w:pPr>
      <w:r>
        <w:t xml:space="preserve">You are uncertain whether your mitigation measures adequately address the identified risks</w:t>
      </w:r>
    </w:p>
    <w:p>
      <w:pPr>
        <w:pStyle w:val="ListParagraph"/>
        <w:numPr>
          <w:ilvl w:val="0"/>
          <w:numId w:val="2"/>
        </w:numPr>
      </w:pPr>
      <w:r>
        <w:t xml:space="preserve">National law requires consultation for this type of processing</w:t>
      </w:r>
    </w:p>
    <w:p>
      <w:pPr>
        <w:pStyle w:val="Heading3"/>
      </w:pPr>
      <w:r>
        <w:t>7.3 Consultation Process</w:t>
      </w:r>
    </w:p>
    <w:p>
      <w:pPr>
        <w:pStyle w:val="ListParagraph"/>
        <w:numPr>
          <w:ilvl w:val="0"/>
          <w:numId w:val="2"/>
        </w:numPr>
      </w:pPr>
      <w:r>
        <w:t xml:space="preserve">Compile this DPIA and all supporting documentation</w:t>
      </w:r>
    </w:p>
    <w:p>
      <w:pPr>
        <w:pStyle w:val="ListParagraph"/>
        <w:numPr>
          <w:ilvl w:val="0"/>
          <w:numId w:val="2"/>
        </w:numPr>
      </w:pPr>
      <w:r>
        <w:t xml:space="preserve">Document the mitigation measures you have implemented or plan to implement</w:t>
      </w:r>
    </w:p>
    <w:p>
      <w:pPr>
        <w:pStyle w:val="ListParagraph"/>
        <w:numPr>
          <w:ilvl w:val="0"/>
          <w:numId w:val="2"/>
        </w:numPr>
      </w:pPr>
      <w:r>
        <w:t xml:space="preserve">Submit to your lead supervisory authority (the DPA in the EU Member State where your main establishment is located)</w:t>
      </w:r>
    </w:p>
    <w:p>
      <w:pPr>
        <w:pStyle w:val="ListParagraph"/>
        <w:numPr>
          <w:ilvl w:val="0"/>
          <w:numId w:val="2"/>
        </w:numPr>
      </w:pPr>
      <w:r>
        <w:t xml:space="preserve">The DPA has up to 8 weeks (extendable by 6 weeks) to provide written advice</w:t>
      </w:r>
    </w:p>
    <w:p>
      <w:pPr>
        <w:pStyle w:val="ListParagraph"/>
        <w:numPr>
          <w:ilvl w:val="0"/>
          <w:numId w:val="2"/>
        </w:numPr>
      </w:pPr>
      <w:r>
        <w:t xml:space="preserve">Do not proceed with the processing until you receive the DPA's response</w:t>
      </w:r>
    </w:p>
    <w:p>
      <w:pPr>
        <w:pStyle w:val="Heading3"/>
      </w:pPr>
      <w:r>
        <w:t>7.4 Internal Consultation</w:t>
      </w:r>
    </w:p>
    <w:p>
      <w:r>
        <w:t xml:space="preserve">Regardless of DPA consultation requirements, the following internal stakeholders should review this DPIA:</w:t>
      </w:r>
    </w:p>
    <w:p>
      <w:pPr>
        <w:pStyle w:val="ListParagraph"/>
        <w:numPr>
          <w:ilvl w:val="0"/>
          <w:numId w:val="1"/>
        </w:numPr>
      </w:pPr>
      <w:r>
        <w:t xml:space="preserve">[ ] Data Protection Officer</w:t>
      </w:r>
    </w:p>
    <w:p>
      <w:pPr>
        <w:pStyle w:val="ListParagraph"/>
        <w:numPr>
          <w:ilvl w:val="0"/>
          <w:numId w:val="1"/>
        </w:numPr>
      </w:pPr>
      <w:r>
        <w:t xml:space="preserve">[ ] Legal / Compliance team</w:t>
      </w:r>
    </w:p>
    <w:p>
      <w:pPr>
        <w:pStyle w:val="ListParagraph"/>
        <w:numPr>
          <w:ilvl w:val="0"/>
          <w:numId w:val="1"/>
        </w:numPr>
      </w:pPr>
      <w:r>
        <w:t xml:space="preserve">[ ] Engineering / Development team</w:t>
      </w:r>
    </w:p>
    <w:p>
      <w:pPr>
        <w:pStyle w:val="ListParagraph"/>
        <w:numPr>
          <w:ilvl w:val="0"/>
          <w:numId w:val="1"/>
        </w:numPr>
      </w:pPr>
      <w:r>
        <w:t xml:space="preserve">[ ] Information Security team</w:t>
      </w:r>
    </w:p>
    <w:p>
      <w:pPr>
        <w:pStyle w:val="ListParagraph"/>
        <w:numPr>
          <w:ilvl w:val="0"/>
          <w:numId w:val="1"/>
        </w:numPr>
      </w:pPr>
      <w:r>
        <w:t xml:space="preserve">[ ] Product Management</w:t>
      </w:r>
    </w:p>
    <w:p>
      <w:pPr>
        <w:pStyle w:val="Heading2"/>
      </w:pPr>
      <w:r>
        <w:t>8. Review and Monitoring</w:t>
      </w:r>
    </w:p>
    <w:p>
      <w:pPr>
        <w:pStyle w:val="Heading3"/>
      </w:pPr>
      <w:r>
        <w:t>8.1 Review Schedule</w:t>
      </w:r>
    </w:p>
    <w:p>
      <w:r>
        <w:t xml:space="preserve">This DPIA must be reviewed:</w:t>
      </w:r>
    </w:p>
    <w:p>
      <w:pPr>
        <w:pStyle w:val="ListParagraph"/>
        <w:numPr>
          <w:ilvl w:val="0"/>
          <w:numId w:val="1"/>
        </w:numPr>
      </w:pPr>
      <w:r>
        <w:t xml:space="preserve">**At least annually**, or</w:t>
      </w:r>
    </w:p>
    <w:p>
      <w:pPr>
        <w:pStyle w:val="ListParagraph"/>
        <w:numPr>
          <w:ilvl w:val="0"/>
          <w:numId w:val="1"/>
        </w:numPr>
      </w:pPr>
      <w:r>
        <w:t xml:space="preserve">When there is a **significant change** in processing operations, including:</w:t>
      </w:r>
    </w:p>
    <w:p>
      <w:r>
        <w:t xml:space="preserve">  - New services or data processors added</w:t>
      </w:r>
    </w:p>
    <w:p>
      <w:r>
        <w:t xml:space="preserve">  - Changes in the type or volume of data processed</w:t>
      </w:r>
    </w:p>
    <w:p>
      <w:r>
        <w:t xml:space="preserve">  - New purposes for processing</w:t>
      </w:r>
    </w:p>
    <w:p>
      <w:r>
        <w:t xml:space="preserve">  - Changes in the technical or organizational measures</w:t>
      </w:r>
    </w:p>
    <w:p>
      <w:r>
        <w:t xml:space="preserve">  - Security incidents involving personal data</w:t>
      </w:r>
    </w:p>
    <w:p>
      <w:pPr>
        <w:pStyle w:val="Heading3"/>
      </w:pPr>
      <w:r>
        <w:t>8.2 Version History</w:t>
      </w:r>
    </w:p>
    <w:p>
      <w:r>
        <w:rPr>
          <w:sz w:val="20"/>
        </w:rPr>
        <w:t xml:space="preserve">Version  |  Date  |  Author  |  Changes</w:t>
      </w:r>
    </w:p>
    <w:p>
      <w:r>
        <w:rPr>
          <w:sz w:val="20"/>
        </w:rPr>
        <w:t xml:space="preserve">1.0  |  2026-03-16  |  Auto-generated  |  Initial DPIA based on code analysis</w:t>
      </w:r>
    </w:p>
    <w:p>
      <w:pPr>
        <w:ind w:left="720"/>
      </w:pPr>
      <w:r>
        <w:rPr>
          <w:i/>
          <w:color w:val="666666"/>
        </w:rPr>
        <w:t xml:space="preserve">**Action required:** Maintain this version history as the DPIA is reviewed and updated.</w:t>
      </w:r>
    </w:p>
    <w:p>
      <w:pPr>
        <w:pStyle w:val="Heading2"/>
      </w:pPr>
      <w:r>
        <w:t>9. Approval and Sign-Off</w:t>
      </w:r>
    </w:p>
    <w:p>
      <w:r>
        <w:rPr>
          <w:sz w:val="20"/>
        </w:rPr>
        <w:t xml:space="preserve">Role  |  Name  |  Signature  |  Date</w:t>
      </w:r>
    </w:p>
    <w:p>
      <w:r>
        <w:rPr>
          <w:sz w:val="20"/>
        </w:rPr>
        <w:t xml:space="preserve">Data Controller  |  _________________  |  _________________  |  __________</w:t>
      </w:r>
    </w:p>
    <w:p>
      <w:r>
        <w:rPr>
          <w:sz w:val="20"/>
        </w:rPr>
        <w:t xml:space="preserve">Data Protection Officer  |  _________________  |  _________________  |  __________</w:t>
      </w:r>
    </w:p>
    <w:p>
      <w:r>
        <w:rPr>
          <w:sz w:val="20"/>
        </w:rPr>
        <w:t xml:space="preserve">IT / Security Lead  |  _________________  |  _________________  |  __________</w:t>
      </w:r>
    </w:p>
    <w:p>
      <w:r>
        <w:rPr>
          <w:sz w:val="20"/>
        </w:rPr>
        <w:t xml:space="preserve">Legal / Compliance  |  _________________  |  _________________  |  __________</w:t>
      </w:r>
    </w:p>
    <w:p>
      <w:pPr>
        <w:pBdr>
          <w:bottom w:val="single" w:sz="6" w:space="1" w:color="999999"/>
        </w:pBdr>
      </w:pPr>
    </w:p>
    <w:p>
      <w:r>
        <w:t xml:space="preserve">This Privacy Impact Assessment was generated by [Codepliant](https://github.com/joechensmartz/codepliant) based on automated code analysis. This document is a starting point and must be reviewed, completed, and approved by qualified personnel including your Data Protection Officer and legal counsel to ensure compliance with GDPR Article 35 and other applicable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