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Model Card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@chatwoot/chatwoot</w:t>
      </w:r>
    </w:p>
    <w:p>
      <w:r>
        <w:t xml:space="preserve">Risk Classification: Limited</w:t>
      </w:r>
    </w:p>
    <w:p>
      <w:r>
        <w:t xml:space="preserve">Generated: 2026-03-16</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Act Compliance Checklist (`AI_ACT_CHECKLIST.md`)</w:t>
      </w:r>
    </w:p>
    <w:p>
      <w:pPr>
        <w:pStyle w:val="ListParagraph"/>
        <w:numPr>
          <w:ilvl w:val="0"/>
          <w:numId w:val="1"/>
        </w:numPr>
      </w:pPr>
      <w:r>
        <w:t xml:space="preserve">AI Governance Framework (`AI_GOVERNANCE_FRAMEWORK.md`)</w:t>
      </w:r>
    </w:p>
    <w:p>
      <w:pPr>
        <w:pBdr>
          <w:bottom w:val="single" w:sz="6" w:space="1" w:color="999999"/>
        </w:pBdr>
      </w:pPr>
    </w:p>
    <w:p>
      <w:pPr>
        <w:ind w:left="720"/>
      </w:pPr>
      <w:r>
        <w:rPr>
          <w:i/>
          <w:color w:val="666666"/>
        </w:rPr>
        <w:t xml:space="preserve">This document provides model-level transparency information for each AI service integrated into this application, in accordance with Article 53 of the EU AI Act (Regulation (EU) 2024/1689) regarding transparency obligations for providers of general-purpose AI (GPAI) models. Full obligations take effect on **2 August 2026**.</w:t>
      </w:r>
    </w:p>
    <w:p>
      <w:pPr>
        <w:pBdr>
          <w:bottom w:val="single" w:sz="6" w:space="1" w:color="999999"/>
        </w:pBdr>
      </w:pPr>
    </w:p>
    <w:p>
      <w:pPr>
        <w:pStyle w:val="Heading2"/>
      </w:pPr>
      <w:r>
        <w:t>ruby-openai</w:t>
      </w:r>
    </w:p>
    <w:p>
      <w:pPr>
        <w:pStyle w:val="Heading3"/>
      </w:pPr>
      <w:r>
        <w:t>Overview</w:t>
      </w:r>
    </w:p>
    <w:p>
      <w:r>
        <w:rPr>
          <w:sz w:val="20"/>
        </w:rPr>
        <w:t xml:space="preserve">Field  |  Detail</w:t>
      </w:r>
    </w:p>
    <w:p>
      <w:r>
        <w:rPr>
          <w:sz w:val="20"/>
        </w:rPr>
        <w:t xml:space="preserve">**Model / Service**  |  ruby-openai</w:t>
      </w:r>
    </w:p>
    <w:p>
      <w:r>
        <w:rPr>
          <w:sz w:val="20"/>
        </w:rPr>
        <w:t xml:space="preserve">**Provider**  |  ruby-openai</w:t>
      </w:r>
    </w:p>
    <w:p>
      <w:r>
        <w:rPr>
          <w:sz w:val="20"/>
        </w:rPr>
        <w:t xml:space="preserve">**Service Identifier**  |  `ruby-openai`</w:t>
      </w:r>
    </w:p>
    <w:p>
      <w:r>
        <w:rPr>
          <w:sz w:val="20"/>
        </w:rPr>
        <w:t xml:space="preserve">**Use Case in This Application**  |  AI processing</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Specific limitations not available — consult provider documentation</w:t>
      </w:r>
    </w:p>
    <w:p>
      <w:pPr>
        <w:pStyle w:val="ListParagraph"/>
        <w:numPr>
          <w:ilvl w:val="0"/>
          <w:numId w:val="1"/>
        </w:numPr>
      </w:pPr>
      <w:r>
        <w:t xml:space="preserve">May generate inaccurate or misleading outputs</w:t>
      </w:r>
    </w:p>
    <w:p>
      <w:pPr>
        <w:pStyle w:val="ListParagraph"/>
        <w:numPr>
          <w:ilvl w:val="0"/>
          <w:numId w:val="1"/>
        </w:numPr>
      </w:pPr>
      <w:r>
        <w:t xml:space="preserve">Performance characteristics should be evaluated for the specific use case</w:t>
      </w:r>
    </w:p>
    <w:p>
      <w:pPr>
        <w:pStyle w:val="Heading3"/>
      </w:pPr>
      <w:r>
        <w:t>Bias Considerations</w:t>
      </w:r>
    </w:p>
    <w:p>
      <w:pPr>
        <w:pStyle w:val="ListParagraph"/>
        <w:numPr>
          <w:ilvl w:val="0"/>
          <w:numId w:val="1"/>
        </w:numPr>
      </w:pPr>
      <w:r>
        <w:t xml:space="preserve">Bias profile not available — consult provider documentation</w:t>
      </w:r>
    </w:p>
    <w:p>
      <w:pPr>
        <w:pStyle w:val="ListParagraph"/>
        <w:numPr>
          <w:ilvl w:val="0"/>
          <w:numId w:val="1"/>
        </w:numPr>
      </w:pPr>
      <w:r>
        <w:t xml:space="preserve">Applications should conduct bias evaluation for the specific use case</w:t>
      </w:r>
    </w:p>
    <w:p>
      <w:pPr>
        <w:pStyle w:val="ListParagraph"/>
        <w:numPr>
          <w:ilvl w:val="0"/>
          <w:numId w:val="1"/>
        </w:numPr>
      </w:pPr>
      <w:r>
        <w:t xml:space="preserve">Monitor outputs for demographic or topical bias</w:t>
      </w:r>
    </w:p>
    <w:p>
      <w:pPr>
        <w:pStyle w:val="Heading3"/>
      </w:pPr>
      <w:r>
        <w:t>Performance Metrics</w:t>
      </w:r>
    </w:p>
    <w:p>
      <w:pPr>
        <w:ind w:left="720"/>
      </w:pPr>
      <w:r>
        <w:rPr>
          <w:i/>
          <w:color w:val="666666"/>
        </w:rPr>
        <w:t xml:space="preserve">**Placeholder:** Consult provider documentation for performance information</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[ruby-openai Research &amp; Documentation](#)</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Article 53 Compliance Summary</w:t>
      </w:r>
    </w:p>
    <w:p>
      <w:r>
        <w:t xml:space="preserve">The EU AI Act Article 53 requires providers of general-purpose AI models to:</w:t>
      </w:r>
    </w:p>
    <w:p>
      <w:pPr>
        <w:pStyle w:val="Heading3"/>
      </w:pPr>
      <w:r>
        <w:t>53(1) — Technical Documentation</w:t>
      </w:r>
    </w:p>
    <w:p>
      <w:pPr>
        <w:pStyle w:val="ListParagraph"/>
        <w:numPr>
          <w:ilvl w:val="0"/>
          <w:numId w:val="1"/>
        </w:numPr>
      </w:pPr>
      <w:r>
        <w:t xml:space="preserve">[ ] Maintain up-to-date technical documentation for each GPAI model used</w:t>
      </w:r>
    </w:p>
    <w:p>
      <w:pPr>
        <w:pStyle w:val="ListParagraph"/>
        <w:numPr>
          <w:ilvl w:val="0"/>
          <w:numId w:val="1"/>
        </w:numPr>
      </w:pPr>
      <w:r>
        <w:t xml:space="preserve">[ ] Documentation covers model training, testing, and evaluation results</w:t>
      </w:r>
    </w:p>
    <w:p>
      <w:pPr>
        <w:pStyle w:val="ListParagraph"/>
        <w:numPr>
          <w:ilvl w:val="0"/>
          <w:numId w:val="1"/>
        </w:numPr>
      </w:pPr>
      <w:r>
        <w:t xml:space="preserve">[ ] Information is sufficient for downstream providers to comply with their obligations</w:t>
      </w:r>
    </w:p>
    <w:p>
      <w:pPr>
        <w:pStyle w:val="Heading3"/>
      </w:pPr>
      <w:r>
        <w:t>53(1)(a) — Model Identification</w:t>
      </w:r>
    </w:p>
    <w:p>
      <w:pPr>
        <w:pStyle w:val="ListParagraph"/>
        <w:numPr>
          <w:ilvl w:val="0"/>
          <w:numId w:val="1"/>
        </w:numPr>
      </w:pPr>
      <w:r>
        <w:t xml:space="preserve">[ ] Each AI model is clearly identified with name, version, and provider</w:t>
      </w:r>
    </w:p>
    <w:p>
      <w:pPr>
        <w:pStyle w:val="ListParagraph"/>
        <w:numPr>
          <w:ilvl w:val="0"/>
          <w:numId w:val="1"/>
        </w:numPr>
      </w:pPr>
      <w:r>
        <w:t xml:space="preserve">[ ] Model capabilities and limitations are documented</w:t>
      </w:r>
    </w:p>
    <w:p>
      <w:pPr>
        <w:pStyle w:val="ListParagraph"/>
        <w:numPr>
          <w:ilvl w:val="0"/>
          <w:numId w:val="1"/>
        </w:numPr>
      </w:pPr>
      <w:r>
        <w:t xml:space="preserve">[ ] Intended and foreseeable use cases are described</w:t>
      </w:r>
    </w:p>
    <w:p>
      <w:pPr>
        <w:pStyle w:val="Heading3"/>
      </w:pPr>
      <w:r>
        <w:t>53(1)(b) — Training &amp; Testing</w:t>
      </w:r>
    </w:p>
    <w:p>
      <w:pPr>
        <w:pStyle w:val="ListParagraph"/>
        <w:numPr>
          <w:ilvl w:val="0"/>
          <w:numId w:val="1"/>
        </w:numPr>
      </w:pPr>
      <w:r>
        <w:t xml:space="preserve">[ ] Training data sources and governance are documented (or referenced from provider)</w:t>
      </w:r>
    </w:p>
    <w:p>
      <w:pPr>
        <w:pStyle w:val="ListParagraph"/>
        <w:numPr>
          <w:ilvl w:val="0"/>
          <w:numId w:val="1"/>
        </w:numPr>
      </w:pPr>
      <w:r>
        <w:t xml:space="preserve">[ ] Evaluation results and benchmark performance are recorded</w:t>
      </w:r>
    </w:p>
    <w:p>
      <w:pPr>
        <w:pStyle w:val="ListParagraph"/>
        <w:numPr>
          <w:ilvl w:val="0"/>
          <w:numId w:val="1"/>
        </w:numPr>
      </w:pPr>
      <w:r>
        <w:t xml:space="preserve">[ ] Testing methodology is described or referenced</w:t>
      </w:r>
    </w:p>
    <w:p>
      <w:pPr>
        <w:pStyle w:val="Heading3"/>
      </w:pPr>
      <w:r>
        <w:t>53(1)(c) — Integration Information</w:t>
      </w:r>
    </w:p>
    <w:p>
      <w:pPr>
        <w:pStyle w:val="ListParagraph"/>
        <w:numPr>
          <w:ilvl w:val="0"/>
          <w:numId w:val="1"/>
        </w:numPr>
      </w:pPr>
      <w:r>
        <w:t xml:space="preserve">[ ] Information for downstream integrators is provided</w:t>
      </w:r>
    </w:p>
    <w:p>
      <w:pPr>
        <w:pStyle w:val="ListParagraph"/>
        <w:numPr>
          <w:ilvl w:val="0"/>
          <w:numId w:val="1"/>
        </w:numPr>
      </w:pPr>
      <w:r>
        <w:t xml:space="preserve">[ ] API usage, data flow, and processing scope are documented</w:t>
      </w:r>
    </w:p>
    <w:p>
      <w:pPr>
        <w:pStyle w:val="ListParagraph"/>
        <w:numPr>
          <w:ilvl w:val="0"/>
          <w:numId w:val="1"/>
        </w:numPr>
      </w:pPr>
      <w:r>
        <w:t xml:space="preserve">[ ] Known risks and mitigation measures are communicated</w:t>
      </w:r>
    </w:p>
    <w:p>
      <w:pPr>
        <w:pStyle w:val="Heading3"/>
      </w:pPr>
      <w:r>
        <w:t>53(1)(d) — Copyright Compliance</w:t>
      </w:r>
    </w:p>
    <w:p>
      <w:pPr>
        <w:pStyle w:val="ListParagraph"/>
        <w:numPr>
          <w:ilvl w:val="0"/>
          <w:numId w:val="1"/>
        </w:numPr>
      </w:pPr>
      <w:r>
        <w:t xml:space="preserve">[ ] Provider's copyright policy for training data is reviewed</w:t>
      </w:r>
    </w:p>
    <w:p>
      <w:pPr>
        <w:pStyle w:val="ListParagraph"/>
        <w:numPr>
          <w:ilvl w:val="0"/>
          <w:numId w:val="1"/>
        </w:numPr>
      </w:pPr>
      <w:r>
        <w:t xml:space="preserve">[ ] EU Copyright Directive (Directive (EU) 2019/790) compliance is verified with provider</w:t>
      </w:r>
    </w:p>
    <w:p>
      <w:pPr>
        <w:pStyle w:val="ListParagraph"/>
        <w:numPr>
          <w:ilvl w:val="0"/>
          <w:numId w:val="1"/>
        </w:numPr>
      </w:pPr>
      <w:r>
        <w:t xml:space="preserve">[ ] Text and data mining opt-out mechanisms are documented where applicable</w:t>
      </w:r>
    </w:p>
    <w:p>
      <w:pPr>
        <w:pStyle w:val="Heading3"/>
      </w:pPr>
      <w:r>
        <w:t>53(2) — Systemic Risk (if applicable)</w:t>
      </w:r>
    </w:p>
    <w:p>
      <w:pPr>
        <w:pStyle w:val="ListParagraph"/>
        <w:numPr>
          <w:ilvl w:val="0"/>
          <w:numId w:val="1"/>
        </w:numPr>
      </w:pPr>
      <w:r>
        <w:t xml:space="preserve">[ ] Assess whether any GPAI model used has systemic risk (&gt;10^25 FLOPs or EC designation)</w:t>
      </w:r>
    </w:p>
    <w:p>
      <w:pPr>
        <w:pStyle w:val="ListParagraph"/>
        <w:numPr>
          <w:ilvl w:val="0"/>
          <w:numId w:val="1"/>
        </w:numPr>
      </w:pPr>
      <w:r>
        <w:t xml:space="preserve">[ ] If systemic risk applies, additional obligations under Article 55 must be met</w:t>
      </w:r>
    </w:p>
    <w:p>
      <w:pPr>
        <w:pStyle w:val="ListParagraph"/>
        <w:numPr>
          <w:ilvl w:val="0"/>
          <w:numId w:val="1"/>
        </w:numPr>
      </w:pPr>
      <w:r>
        <w:t xml:space="preserve">[ ] Model evaluation and adversarial testing documentation is maintained</w:t>
      </w:r>
    </w:p>
    <w:p>
      <w:pPr>
        <w:ind w:left="720"/>
      </w:pPr>
      <w:r>
        <w:rPr>
          <w:i/>
          <w:color w:val="666666"/>
        </w:rPr>
        <w:t xml:space="preserve">**Note:** As a deployer (not provider) of GPAI models, your primary obligation is to ensure that the AI providers you use comply with Article 53. This checklist helps you verify and document that compliance.</w:t>
      </w:r>
    </w:p>
    <w:p>
      <w:pPr>
        <w:pStyle w:val="Heading2"/>
      </w:pPr>
      <w:r>
        <w:t>Data Flow Summary</w:t>
      </w:r>
    </w:p>
    <w:p>
      <w:r>
        <w:rPr>
          <w:sz w:val="20"/>
        </w:rPr>
        <w:t xml:space="preserve">Data Type  |  AI Providers Receiving Data</w:t>
      </w:r>
    </w:p>
    <w:p>
      <w:r>
        <w:rPr>
          <w:sz w:val="20"/>
        </w:rPr>
        <w:t xml:space="preserve">user prompts  |  ruby-openai</w:t>
      </w:r>
    </w:p>
    <w:p>
      <w:r>
        <w:rPr>
          <w:sz w:val="20"/>
        </w:rPr>
        <w:t xml:space="preserve">conversation history  |  ruby-openai</w:t>
      </w:r>
    </w:p>
    <w:p>
      <w:r>
        <w:rPr>
          <w:sz w:val="20"/>
        </w:rPr>
        <w:t xml:space="preserve">generated content  |  ruby-openai</w:t>
      </w:r>
    </w:p>
    <w:p>
      <w:pPr>
        <w:pStyle w:val="Heading2"/>
      </w:pPr>
      <w:r>
        <w:t>Contact</w:t>
      </w:r>
    </w:p>
    <w:p>
      <w:r>
        <w:t xml:space="preserve">For questions about the AI models used in this application:</w:t>
      </w:r>
    </w:p>
    <w:p>
      <w:pPr>
        <w:pStyle w:val="ListParagraph"/>
        <w:numPr>
          <w:ilvl w:val="0"/>
          <w:numId w:val="1"/>
        </w:numPr>
      </w:pPr>
      <w:r>
        <w:t xml:space="preserve">**Email:** [your-email@example.com]</w:t>
      </w:r>
    </w:p>
    <w:p>
      <w:pPr>
        <w:pBdr>
          <w:bottom w:val="single" w:sz="6" w:space="1" w:color="999999"/>
        </w:pBdr>
      </w:pPr>
    </w:p>
    <w:p>
      <w:r>
        <w:t xml:space="preserve">This AI Model Card was generated by [Codepliant](https://github.com/joechensmartz/codepliant) based on automated code analysis. Model information is derived from publicly available provider documentation as of the generation date. This document should be reviewed by a qualified professional to ensure compliance with the EU AI Act (Regulation (EU) 2024/1689) Article 53 and other applicable regulations. Performance metrics marked as placeholders must be completed based on application-specific evaluation.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