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Gap Analysis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Compares current compliance state (from code analysis) against regulatory target state.</w:t>
      </w:r>
    </w:p>
    <w:p>
      <w:pPr>
        <w:ind w:left="720"/>
      </w:pPr>
      <w:r>
        <w:rPr>
          <w:i/>
          <w:color w:val="666666"/>
        </w:rPr>
        <w:t xml:space="preserve">This analysis should be validated by qualified legal and compliance professionals.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Gaps Identified  |  **14**</w:t>
      </w:r>
    </w:p>
    <w:p>
      <w:r>
        <w:rPr>
          <w:sz w:val="20"/>
        </w:rPr>
        <w:t xml:space="preserve">Critical Gaps  |  **5**</w:t>
      </w:r>
    </w:p>
    <w:p>
      <w:r>
        <w:rPr>
          <w:sz w:val="20"/>
        </w:rPr>
        <w:t xml:space="preserve">High Priority Gaps  |  **8**</w:t>
      </w:r>
    </w:p>
    <w:p>
      <w:r>
        <w:rPr>
          <w:sz w:val="20"/>
        </w:rPr>
        <w:t xml:space="preserve">Medium Priority Gaps  |  **1**</w:t>
      </w:r>
    </w:p>
    <w:p>
      <w:r>
        <w:rPr>
          <w:sz w:val="20"/>
        </w:rPr>
        <w:t xml:space="preserve">Services Analyzed  |  32</w:t>
      </w:r>
    </w:p>
    <w:p>
      <w:r>
        <w:rPr>
          <w:sz w:val="20"/>
        </w:rPr>
        <w:t xml:space="preserve">Regulations Covered  |  GDPR, EU AI Act, PCI DSS, ePrivacy, SOC 2</w:t>
      </w:r>
    </w:p>
    <w:p>
      <w:pPr>
        <w:pStyle w:val="Heading2"/>
      </w:pPr>
      <w:r>
        <w:t>Gap Analysis Table</w:t>
      </w:r>
    </w:p>
    <w:p>
      <w:r>
        <w:rPr>
          <w:sz w:val="20"/>
        </w:rPr>
        <w:t xml:space="preserve">Requirement  |  Current State  |  Target State  |  Gap  |  Priority  |  Effort</w:t>
      </w:r>
    </w:p>
    <w:p>
      <w:r>
        <w:rPr>
          <w:sz w:val="20"/>
        </w:rPr>
        <w:t xml:space="preserve">Data Protection Impact Assessment (Art. 35)  |  AI services detected — DPIA likely required  |  Completed DPIA for all high-risk processing activities  |  Conduct formal DPIA with risk assessment and DPO consultation  |  🔴 Critical  |  High</w:t>
      </w:r>
    </w:p>
    <w:p>
      <w:r>
        <w:rPr>
          <w:sz w:val="20"/>
        </w:rPr>
        <w:t xml:space="preserve">Breach Notification (Art. 33/34)  |  Incident response plan generated  |  72-hour breach notification procedure tested and operational  |  Conduct tabletop exercise; establish supervisory authority contact procedure  |  🔴 Critical  |  Medium</w:t>
      </w:r>
    </w:p>
    <w:p>
      <w:r>
        <w:rPr>
          <w:sz w:val="20"/>
        </w:rPr>
        <w:t xml:space="preserve">Consent Management (Art. 6/7)  |  Analytics/advertising services detected — consent required  |  CMP deployed; consent recorded before any tracking; withdrawal mechanism operational  |  Deploy consent management platform; block trackers until consent obtained  |  🔴 Critical  |  Medium</w:t>
      </w:r>
    </w:p>
    <w:p>
      <w:r>
        <w:rPr>
          <w:sz w:val="20"/>
        </w:rPr>
        <w:t xml:space="preserve">AI System Transparency (Art. 50)  |  AI disclosure and model card generated  |  AI usage disclosed in product UI; users informed before AI interaction  |  Add in-product AI disclosure; link to model card from UI  |  🔴 Critical  |  Low</w:t>
      </w:r>
    </w:p>
    <w:p>
      <w:r>
        <w:rPr>
          <w:sz w:val="20"/>
        </w:rPr>
        <w:t xml:space="preserve">PCI DSS Compliance  |  Payment processors detected via code scan  |  PCI DSS SAQ completed; tokenization verified; no raw card data stored  |  Complete PCI DSS Self-Assessment Questionnaire; verify tokenization implementation  |  🔴 Critical  |  High</w:t>
      </w:r>
    </w:p>
    <w:p>
      <w:r>
        <w:rPr>
          <w:sz w:val="20"/>
        </w:rPr>
        <w:t xml:space="preserve">Privacy Notice (Art. 13/14)  |  Privacy Policy generated from code scan  |  Complete privacy notice published on website, covering all data processing activities  |  Review placeholders and publish to website  |  🟠 High  |  Low</w:t>
      </w:r>
    </w:p>
    <w:p>
      <w:r>
        <w:rPr>
          <w:sz w:val="20"/>
        </w:rPr>
        <w:t xml:space="preserve">Record of Processing Activities (Art. 30)  |  32 services detected via code scan  |  Complete ROPA covering all processing activities with lawful bases  |  Review auto-generated ROPA; add manual processing activities not captured by code scan  |  🟠 High  |  Medium</w:t>
      </w:r>
    </w:p>
    <w:p>
      <w:r>
        <w:rPr>
          <w:sz w:val="20"/>
        </w:rPr>
        <w:t xml:space="preserve">Data Protection Officer (Art. 37)  |  No DPO configured  |  DPO appointed and registered with supervisory authority  |  Appoint DPO or document exemption rationale  |  🟠 High  |  Medium</w:t>
      </w:r>
    </w:p>
    <w:p>
      <w:r>
        <w:rPr>
          <w:sz w:val="20"/>
        </w:rPr>
        <w:t xml:space="preserve">Right to Erasure (Art. 17)  |  Data deletion procedures documented  |  Automated data deletion across all services with verification  |  Implement automated deletion workflows; verify completeness across sub-processors  |  🟠 High  |  High</w:t>
      </w:r>
    </w:p>
    <w:p>
      <w:r>
        <w:rPr>
          <w:sz w:val="20"/>
        </w:rPr>
        <w:t xml:space="preserve">Processor Agreements (Art. 28)  |  32 third-party services detected  |  Signed DPAs with all sub-processors; annual review process  |  Obtain signed DPAs from all 32 detected sub-processors  |  🟠 High  |  Medium</w:t>
      </w:r>
    </w:p>
    <w:p>
      <w:r>
        <w:rPr>
          <w:sz w:val="20"/>
        </w:rPr>
        <w:t xml:space="preserve">AI Risk Classification  |  AI risk level not classified  |  All AI systems classified; high-risk systems registered in EU database  |  Classify AI systems by risk level  |  🟠 High  |  Medium</w:t>
      </w:r>
    </w:p>
    <w:p>
      <w:r>
        <w:rPr>
          <w:sz w:val="20"/>
        </w:rPr>
        <w:t xml:space="preserve">Human Oversight (Art. 14)  |  AI governance framework generated  |  Human oversight mechanisms implemented; override capabilities documented  |  Implement human review workflow for AI decisions; document override procedures  |  🟠 High  |  High</w:t>
      </w:r>
    </w:p>
    <w:p>
      <w:r>
        <w:rPr>
          <w:sz w:val="20"/>
        </w:rPr>
        <w:t xml:space="preserve">Cookie Consent (ePrivacy Directive)  |  Cookie inventory generated; analytics services detected  |  Cookie banner deployed; consent recorded; non-essential cookies blocked until consent  |  Deploy CMP with granular cookie categories; implement server-side consent enforcement  |  🟠 High  |  Medium</w:t>
      </w:r>
    </w:p>
    <w:p>
      <w:r>
        <w:rPr>
          <w:sz w:val="20"/>
        </w:rPr>
        <w:t xml:space="preserve">SOC 2 Type II Audit Readiness  |  Security and access control policies generated  |  SOC 2 Type II audit completed; evidence collection automated  |  Map controls to Trust Service Criteria; begin 6-month evidence collection period  |  🟡 Medium  |  High</w:t>
      </w:r>
    </w:p>
    <w:p>
      <w:pPr>
        <w:pStyle w:val="Heading2"/>
      </w:pPr>
      <w:r>
        <w:t>Per-Regulation Breakdown</w:t>
      </w:r>
    </w:p>
    <w:p>
      <w:pPr>
        <w:pStyle w:val="Heading3"/>
      </w:pPr>
      <w:r>
        <w:t>GDPR</w:t>
      </w:r>
    </w:p>
    <w:p>
      <w:r>
        <w:t xml:space="preserve">8 gaps identified (3 critical, 5 high)</w:t>
      </w:r>
    </w:p>
    <w:p>
      <w:pPr>
        <w:pStyle w:val="ListParagraph"/>
        <w:numPr>
          <w:ilvl w:val="0"/>
          <w:numId w:val="1"/>
        </w:numPr>
      </w:pPr>
      <w:r>
        <w:t xml:space="preserve">🔴 **Data Protection Impact Assessment (Art. 35)**: Conduct formal DPIA with risk assessment and DPO consultation *(Effort: High)*</w:t>
      </w:r>
    </w:p>
    <w:p>
      <w:pPr>
        <w:pStyle w:val="ListParagraph"/>
        <w:numPr>
          <w:ilvl w:val="0"/>
          <w:numId w:val="1"/>
        </w:numPr>
      </w:pPr>
      <w:r>
        <w:t xml:space="preserve">🔴 **Breach Notification (Art. 33/34)**: Conduct tabletop exercise; establish supervisory authority contact procedure *(Effort: Medium)*</w:t>
      </w:r>
    </w:p>
    <w:p>
      <w:pPr>
        <w:pStyle w:val="ListParagraph"/>
        <w:numPr>
          <w:ilvl w:val="0"/>
          <w:numId w:val="1"/>
        </w:numPr>
      </w:pPr>
      <w:r>
        <w:t xml:space="preserve">🔴 **Consent Management (Art. 6/7)**: Deploy consent management platform; block trackers until consent obtained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**Privacy Notice (Art. 13/14)**: Review placeholders and publish to website *(Effort: Low)*</w:t>
      </w:r>
    </w:p>
    <w:p>
      <w:pPr>
        <w:pStyle w:val="ListParagraph"/>
        <w:numPr>
          <w:ilvl w:val="0"/>
          <w:numId w:val="1"/>
        </w:numPr>
      </w:pPr>
      <w:r>
        <w:t xml:space="preserve">🟠 **Record of Processing Activities (Art. 30)**: Review auto-generated ROPA; add manual processing activities not captured by code scan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**Data Protection Officer (Art. 37)**: Appoint DPO or document exemption rationale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**Right to Erasure (Art. 17)**: Implement automated deletion workflows; verify completeness across sub-processors *(Effort: High)*</w:t>
      </w:r>
    </w:p>
    <w:p>
      <w:pPr>
        <w:pStyle w:val="ListParagraph"/>
        <w:numPr>
          <w:ilvl w:val="0"/>
          <w:numId w:val="1"/>
        </w:numPr>
      </w:pPr>
      <w:r>
        <w:t xml:space="preserve">🟠 **Processor Agreements (Art. 28)**: Obtain signed DPAs from all 32 detected sub-processors *(Effort: Medium)*</w:t>
      </w:r>
    </w:p>
    <w:p>
      <w:pPr>
        <w:pStyle w:val="Heading3"/>
      </w:pPr>
      <w:r>
        <w:t>EU AI Act</w:t>
      </w:r>
    </w:p>
    <w:p>
      <w:r>
        <w:t xml:space="preserve">3 gaps identified (1 critical, 2 high)</w:t>
      </w:r>
    </w:p>
    <w:p>
      <w:pPr>
        <w:pStyle w:val="ListParagraph"/>
        <w:numPr>
          <w:ilvl w:val="0"/>
          <w:numId w:val="1"/>
        </w:numPr>
      </w:pPr>
      <w:r>
        <w:t xml:space="preserve">🔴 **AI System Transparency (Art. 50)**: Add in-product AI disclosure; link to model card from UI *(Effort: Low)*</w:t>
      </w:r>
    </w:p>
    <w:p>
      <w:pPr>
        <w:pStyle w:val="ListParagraph"/>
        <w:numPr>
          <w:ilvl w:val="0"/>
          <w:numId w:val="1"/>
        </w:numPr>
      </w:pPr>
      <w:r>
        <w:t xml:space="preserve">🟠 **AI Risk Classification**: Classify AI systems by risk level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**Human Oversight (Art. 14)**: Implement human review workflow for AI decisions; document override procedures *(Effort: High)*</w:t>
      </w:r>
    </w:p>
    <w:p>
      <w:pPr>
        <w:pStyle w:val="Heading3"/>
      </w:pPr>
      <w:r>
        <w:t>PCI DSS</w:t>
      </w:r>
    </w:p>
    <w:p>
      <w:r>
        <w:t xml:space="preserve">1 gaps identified (1 critical, 0 high)</w:t>
      </w:r>
    </w:p>
    <w:p>
      <w:pPr>
        <w:pStyle w:val="ListParagraph"/>
        <w:numPr>
          <w:ilvl w:val="0"/>
          <w:numId w:val="1"/>
        </w:numPr>
      </w:pPr>
      <w:r>
        <w:t xml:space="preserve">🔴 **PCI DSS Compliance**: Complete PCI DSS Self-Assessment Questionnaire; verify tokenization implementation *(Effort: High)*</w:t>
      </w:r>
    </w:p>
    <w:p>
      <w:pPr>
        <w:pStyle w:val="Heading3"/>
      </w:pPr>
      <w:r>
        <w:t>ePrivacy</w:t>
      </w:r>
    </w:p>
    <w:p>
      <w:r>
        <w:t xml:space="preserve">1 gaps identified (0 critical, 1 high)</w:t>
      </w:r>
    </w:p>
    <w:p>
      <w:pPr>
        <w:pStyle w:val="ListParagraph"/>
        <w:numPr>
          <w:ilvl w:val="0"/>
          <w:numId w:val="1"/>
        </w:numPr>
      </w:pPr>
      <w:r>
        <w:t xml:space="preserve">🟠 **Cookie Consent (ePrivacy Directive)**: Deploy CMP with granular cookie categories; implement server-side consent enforcement *(Effort: Medium)*</w:t>
      </w:r>
    </w:p>
    <w:p>
      <w:pPr>
        <w:pStyle w:val="Heading3"/>
      </w:pPr>
      <w:r>
        <w:t>SOC 2</w:t>
      </w:r>
    </w:p>
    <w:p>
      <w:r>
        <w:t xml:space="preserve">1 gaps identified (0 critical, 0 high)</w:t>
      </w:r>
    </w:p>
    <w:p>
      <w:pPr>
        <w:pStyle w:val="ListParagraph"/>
        <w:numPr>
          <w:ilvl w:val="0"/>
          <w:numId w:val="1"/>
        </w:numPr>
      </w:pPr>
      <w:r>
        <w:t xml:space="preserve">🟡 **SOC 2 Type II Audit Readiness**: Map controls to Trust Service Criteria; begin 6-month evidence collection period *(Effort: High)*</w:t>
      </w:r>
    </w:p>
    <w:p>
      <w:pPr>
        <w:pStyle w:val="Heading2"/>
      </w:pPr>
      <w:r>
        <w:t>Remediation Roadmap</w:t>
      </w:r>
    </w:p>
    <w:p>
      <w:pPr>
        <w:pStyle w:val="Heading3"/>
      </w:pPr>
      <w:r>
        <w:t>Immediate (Week 1) — Critical Gaps</w:t>
      </w:r>
    </w:p>
    <w:p>
      <w:pPr>
        <w:pStyle w:val="ListParagraph"/>
        <w:numPr>
          <w:ilvl w:val="0"/>
          <w:numId w:val="1"/>
        </w:numPr>
      </w:pPr>
      <w:r>
        <w:t xml:space="preserve">[ ] **Data Protection Impact Assessment (Art. 35)** (GDPR): Conduct formal DPIA with risk assessment and DPO consultation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 (Art. 33/34)** (GDPR): Conduct tabletop exercise; establish supervisory authority contact procedure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 (Art. 6/7)** (GDPR): Deploy consent management platform; block trackers until consent obtained</w:t>
      </w:r>
    </w:p>
    <w:p>
      <w:pPr>
        <w:pStyle w:val="ListParagraph"/>
        <w:numPr>
          <w:ilvl w:val="0"/>
          <w:numId w:val="1"/>
        </w:numPr>
      </w:pPr>
      <w:r>
        <w:t xml:space="preserve">[ ] **AI System Transparency (Art. 50)** (EU AI Act): Add in-product AI disclosure; link to model card from UI</w:t>
      </w:r>
    </w:p>
    <w:p>
      <w:pPr>
        <w:pStyle w:val="ListParagraph"/>
        <w:numPr>
          <w:ilvl w:val="0"/>
          <w:numId w:val="1"/>
        </w:numPr>
      </w:pPr>
      <w:r>
        <w:t xml:space="preserve">[ ] **PCI DSS Compliance** (PCI DSS): Complete PCI DSS Self-Assessment Questionnaire; verify tokenization implementation</w:t>
      </w:r>
    </w:p>
    <w:p>
      <w:pPr>
        <w:pStyle w:val="Heading3"/>
      </w:pPr>
      <w:r>
        <w:t>Short-term (Weeks 2-4) — High Priority Gaps</w:t>
      </w:r>
    </w:p>
    <w:p>
      <w:pPr>
        <w:pStyle w:val="ListParagraph"/>
        <w:numPr>
          <w:ilvl w:val="0"/>
          <w:numId w:val="1"/>
        </w:numPr>
      </w:pPr>
      <w:r>
        <w:t xml:space="preserve">[ ] **Privacy Notice (Art. 13/14)** (GDPR): Review placeholders and publish to website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 (Art. 30)** (GDPR): Review auto-generated ROPA; add manual processing activities not captured by code scan</w:t>
      </w:r>
    </w:p>
    <w:p>
      <w:pPr>
        <w:pStyle w:val="ListParagraph"/>
        <w:numPr>
          <w:ilvl w:val="0"/>
          <w:numId w:val="1"/>
        </w:numPr>
      </w:pPr>
      <w:r>
        <w:t xml:space="preserve">[ ] **Data Protection Officer (Art. 37)** (GDPR): Appoint DPO or document exemption rationale</w:t>
      </w:r>
    </w:p>
    <w:p>
      <w:pPr>
        <w:pStyle w:val="ListParagraph"/>
        <w:numPr>
          <w:ilvl w:val="0"/>
          <w:numId w:val="1"/>
        </w:numPr>
      </w:pPr>
      <w:r>
        <w:t xml:space="preserve">[ ] **Right to Erasure (Art. 17)** (GDPR): Implement automated deletion workflows; verify completeness across sub-processors</w:t>
      </w:r>
    </w:p>
    <w:p>
      <w:pPr>
        <w:pStyle w:val="ListParagraph"/>
        <w:numPr>
          <w:ilvl w:val="0"/>
          <w:numId w:val="1"/>
        </w:numPr>
      </w:pPr>
      <w:r>
        <w:t xml:space="preserve">[ ] **Processor Agreements (Art. 28)** (GDPR): Obtain signed DPAs from all 32 detected sub-processors</w:t>
      </w:r>
    </w:p>
    <w:p>
      <w:pPr>
        <w:pStyle w:val="ListParagraph"/>
        <w:numPr>
          <w:ilvl w:val="0"/>
          <w:numId w:val="1"/>
        </w:numPr>
      </w:pPr>
      <w:r>
        <w:t xml:space="preserve">[ ] **AI Risk Classification** (EU AI Act): Classify AI systems by risk level</w:t>
      </w:r>
    </w:p>
    <w:p>
      <w:pPr>
        <w:pStyle w:val="ListParagraph"/>
        <w:numPr>
          <w:ilvl w:val="0"/>
          <w:numId w:val="1"/>
        </w:numPr>
      </w:pPr>
      <w:r>
        <w:t xml:space="preserve">[ ] **Human Oversight (Art. 14)** (EU AI Act): Implement human review workflow for AI decisions; document override procedures</w:t>
      </w:r>
    </w:p>
    <w:p>
      <w:pPr>
        <w:pStyle w:val="ListParagraph"/>
        <w:numPr>
          <w:ilvl w:val="0"/>
          <w:numId w:val="1"/>
        </w:numPr>
      </w:pPr>
      <w:r>
        <w:t xml:space="preserve">[ ] **Cookie Consent (ePrivacy Directive)** (ePrivacy): Deploy CMP with granular cookie categories; implement server-side consent enforcement</w:t>
      </w:r>
    </w:p>
    <w:p>
      <w:pPr>
        <w:pStyle w:val="Heading3"/>
      </w:pPr>
      <w:r>
        <w:t>Medium-term (Months 2-3) — Medium Priority Gaps</w:t>
      </w:r>
    </w:p>
    <w:p>
      <w:pPr>
        <w:pStyle w:val="ListParagraph"/>
        <w:numPr>
          <w:ilvl w:val="0"/>
          <w:numId w:val="1"/>
        </w:numPr>
      </w:pPr>
      <w:r>
        <w:t xml:space="preserve">[ ] **SOC 2 Type II Audit Readiness** (SOC 2): Map controls to Trust Service Criteria; begin 6-month evidence collection period</w:t>
      </w:r>
    </w:p>
    <w:p>
      <w:pPr>
        <w:pBdr>
          <w:bottom w:val="single" w:sz="6" w:space="1" w:color="999999"/>
        </w:pBdr>
      </w:pPr>
    </w:p>
    <w:p>
      <w:r>
        <w:t xml:space="preserve">This gap analysis is generated from automated code analysis and regulatory checklists. It does not constitute legal advice. Have this document reviewed by a qualified compliance professional before acting on 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