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32 third-party service(s) that process user data. A total of 85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32</w:t>
      </w:r>
    </w:p>
    <w:p>
      <w:r>
        <w:rPr>
          <w:sz w:val="20"/>
        </w:rPr>
        <w:t xml:space="preserve">Documents Generated  |  85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Advertising  |  1  |  Meta Pixel</w:t>
      </w:r>
    </w:p>
    <w:p>
      <w:r>
        <w:rPr>
          <w:sz w:val="20"/>
        </w:rPr>
        <w:t xml:space="preserve">Ai  |  1  |  ruby-openai</w:t>
      </w:r>
    </w:p>
    <w:p>
      <w:r>
        <w:rPr>
          <w:sz w:val="20"/>
        </w:rPr>
        <w:t xml:space="preserve">Analytics  |  1  |  @amplitude/analytics-browser</w:t>
      </w:r>
    </w:p>
    <w:p>
      <w:r>
        <w:rPr>
          <w:sz w:val="20"/>
        </w:rPr>
        <w:t xml:space="preserve">Auth  |  4  |  devise, omniauth, pundit, rails-sessions</w:t>
      </w:r>
    </w:p>
    <w:p>
      <w:r>
        <w:rPr>
          <w:sz w:val="20"/>
        </w:rPr>
        <w:t xml:space="preserve">Database  |  8  |  ActiveRecord, ioredis, pg, PostgreSQL (env), rails-activerecord, redis, Redis, Redis (env)</w:t>
      </w:r>
    </w:p>
    <w:p>
      <w:r>
        <w:rPr>
          <w:sz w:val="20"/>
        </w:rPr>
        <w:t xml:space="preserve">Email  |  4  |  ActionMailer, MailHog, nodemailer, rails-actionmailer</w:t>
      </w:r>
    </w:p>
    <w:p>
      <w:r>
        <w:rPr>
          <w:sz w:val="20"/>
        </w:rPr>
        <w:t xml:space="preserve">Monitoring  |  1  |  sentry-ruby</w:t>
      </w:r>
    </w:p>
    <w:p>
      <w:r>
        <w:rPr>
          <w:sz w:val="20"/>
        </w:rPr>
        <w:t xml:space="preserve">Other  |  6  |  @twilio/voice-sdk, ActionCable, ActionController::Cookies, rack-attack, sidekiq, twilio-ruby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5  |  @aws-sdk/client-s3, Active Storage, ActiveStorage, aws-sdk-s3, google-cloud-storage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**AI/ML Services Detected** (ruby-openai): EU AI Act Art. 50 transparency obligations apply. AI Disclosure document required.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**High Service Count** (32 services): Large attack surface increases data breach risk. Sub-processor management is critical.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(@amplitude/analytics-browser, sentry-ruby):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Art. 50 compliance before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Covered  |  AI Disclosure, AI Model Card, AI Governance Framework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32 service(s) across 10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