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@chatwoot/chatwoot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r>
        <w:rPr>
          <w:sz w:val="20"/>
        </w:rPr>
        <w:t xml:space="preserve">**AI Incident Report**  |  EU AI Act mandatory serious incident reports  |  15 days (EU AI Act Art. 62)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**AI Office**  |  EU  |  EU AI Act  |  [TBD]  |  AI system compliance, market surveillance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@chatwoot/chatwoot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