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Severity Matrix</w:t>
      </w:r>
    </w:p>
    <w:p>
      <w:pPr>
        <w:ind w:left="720"/>
      </w:pPr>
      <w:r>
        <w:rPr>
          <w:i/>
          <w:color w:val="666666"/>
        </w:rPr>
        <w:t xml:space="preserve">**Severity classification and response framework for [Your Company Name].**</w:t>
      </w:r>
    </w:p>
    <w:p>
      <w:pPr>
        <w:ind w:left="720"/>
      </w:pPr>
      <w:r>
        <w:rPr>
          <w:i/>
          <w:color w:val="666666"/>
        </w:rPr>
        <w:t xml:space="preserve">32 services | Generated on 2026-03-16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Purpose</w:t>
      </w:r>
    </w:p>
    <w:p>
      <w:r>
        <w:t xml:space="preserve">This matrix defines severity levels for security incidents and service disruptions. It establishes response times, escalation paths, and communication requirements to ensure consistent and rapid incident handling.</w:t>
      </w:r>
    </w:p>
    <w:p>
      <w:pPr>
        <w:pBdr>
          <w:bottom w:val="single" w:sz="6" w:space="1" w:color="999999"/>
        </w:pBdr>
      </w:pPr>
    </w:p>
    <w:p>
      <w:pPr>
        <w:pStyle w:val="Heading2"/>
      </w:pPr>
      <w:r>
        <w:t>1. Severity Level Definitions</w:t>
      </w:r>
    </w:p>
    <w:p>
      <w:r>
        <w:rPr>
          <w:sz w:val="20"/>
        </w:rPr>
        <w:t xml:space="preserve">Level  |  Name  |  Definition  |  Examples</w:t>
      </w:r>
    </w:p>
    <w:p>
      <w:r>
        <w:rPr>
          <w:sz w:val="20"/>
        </w:rPr>
        <w:t xml:space="preserve">**P0**  |  **Catastrophic**  |  Complete system compromise, active data exfiltration, or regulatory breach affecting all users  |  Production database breach, ransomware encrypting all systems, leaked master encryption keys, complete auth bypass</w:t>
      </w:r>
    </w:p>
    <w:p>
      <w:r>
        <w:rPr>
          <w:sz w:val="20"/>
        </w:rPr>
        <w:t xml:space="preserve">**P1**  |  **Critical**  |  Major security incident with confirmed data exposure or significant service degradation  |  Unauthorized access to PII, API key compromise with data access, partial service outage affecting &gt;50% users</w:t>
      </w:r>
    </w:p>
    <w:p>
      <w:r>
        <w:rPr>
          <w:sz w:val="20"/>
        </w:rPr>
        <w:t xml:space="preserve">**P2**  |  **High**  |  Security incident with potential data exposure or moderate service impact  |  Vulnerability actively exploited, unauthorized access detected but contained, service degradation affecting &lt;50% users</w:t>
      </w:r>
    </w:p>
    <w:p>
      <w:r>
        <w:rPr>
          <w:sz w:val="20"/>
        </w:rPr>
        <w:t xml:space="preserve">**P3**  |  **Medium**  |  Security event requiring investigation with limited immediate impact  |  Suspicious access patterns, failed intrusion attempts, configuration drift detected, minor data quality issues</w:t>
      </w:r>
    </w:p>
    <w:p>
      <w:r>
        <w:rPr>
          <w:sz w:val="20"/>
        </w:rPr>
        <w:t xml:space="preserve">**P4**  |  **Low**  |  Minor security event or policy violation with no data impact  |  Phishing attempt blocked, minor policy violation, non-sensitive log exposure, informational security alert</w:t>
      </w:r>
    </w:p>
    <w:p>
      <w:pPr>
        <w:pBdr>
          <w:bottom w:val="single" w:sz="6" w:space="1" w:color="999999"/>
        </w:pBdr>
      </w:pPr>
    </w:p>
    <w:p>
      <w:pPr>
        <w:pStyle w:val="Heading2"/>
      </w:pPr>
      <w:r>
        <w:t>2. Response Time Requirements</w:t>
      </w:r>
    </w:p>
    <w:p>
      <w:r>
        <w:rPr>
          <w:sz w:val="20"/>
        </w:rPr>
        <w:t xml:space="preserve">Level  |  Acknowledge  |  Triage  |  Initial Response  |  Resolution Target  |  Post-Mortem</w:t>
      </w:r>
    </w:p>
    <w:p>
      <w:r>
        <w:rPr>
          <w:sz w:val="20"/>
        </w:rPr>
        <w:t xml:space="preserve">**P0**  |  5 minutes  |  15 minutes  |  30 minutes  |  4 hours  |  Within 24 hours</w:t>
      </w:r>
    </w:p>
    <w:p>
      <w:r>
        <w:rPr>
          <w:sz w:val="20"/>
        </w:rPr>
        <w:t xml:space="preserve">**P1**  |  15 minutes  |  30 minutes  |  1 hour  |  8 hours  |  Within 48 hours</w:t>
      </w:r>
    </w:p>
    <w:p>
      <w:r>
        <w:rPr>
          <w:sz w:val="20"/>
        </w:rPr>
        <w:t xml:space="preserve">**P2**  |  30 minutes  |  1 hour  |  4 hours  |  24 hours  |  Within 5 business days</w:t>
      </w:r>
    </w:p>
    <w:p>
      <w:r>
        <w:rPr>
          <w:sz w:val="20"/>
        </w:rPr>
        <w:t xml:space="preserve">**P3**  |  2 hours  |  4 hours  |  24 hours  |  72 hours  |  Within 10 business days</w:t>
      </w:r>
    </w:p>
    <w:p>
      <w:r>
        <w:rPr>
          <w:sz w:val="20"/>
        </w:rPr>
        <w:t xml:space="preserve">**P4**  |  24 hours  |  48 hours  |  72 hours  |  1 week  |  Monthly review</w:t>
      </w:r>
    </w:p>
    <w:p>
      <w:pPr>
        <w:pBdr>
          <w:bottom w:val="single" w:sz="6" w:space="1" w:color="999999"/>
        </w:pBdr>
      </w:pPr>
    </w:p>
    <w:p>
      <w:pPr>
        <w:pStyle w:val="Heading2"/>
      </w:pPr>
      <w:r>
        <w:t>3. Escalation Paths</w:t>
      </w:r>
    </w:p>
    <w:p>
      <w:pPr>
        <w:pStyle w:val="Heading3"/>
      </w:pPr>
      <w:r>
        <w:t>P0 — Catastrophic</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(immediate)</w:t>
      </w:r>
    </w:p>
    <w:p>
      <w:pPr>
        <w:pStyle w:val="Code"/>
      </w:pPr>
      <w:r>
        <w:rPr>
          <w:rFonts w:ascii="Courier New" w:hAnsi="Courier New"/>
          <w:sz w:val="18"/>
        </w:rPr>
        <w:t xml:space="preserve">       └─&gt; CTO / CISO (within 5 min)</w:t>
      </w:r>
    </w:p>
    <w:p>
      <w:pPr>
        <w:pStyle w:val="Code"/>
      </w:pPr>
      <w:r>
        <w:rPr>
          <w:rFonts w:ascii="Courier New" w:hAnsi="Courier New"/>
          <w:sz w:val="18"/>
        </w:rPr>
        <w:t xml:space="preserve">            └─&gt; CEO + Legal Counsel (within 15 min)</w:t>
      </w:r>
    </w:p>
    <w:p>
      <w:pPr>
        <w:pStyle w:val="Code"/>
      </w:pPr>
      <w:r>
        <w:rPr>
          <w:rFonts w:ascii="Courier New" w:hAnsi="Courier New"/>
          <w:sz w:val="18"/>
        </w:rPr>
        <w:t xml:space="preserve">                 └─&gt; Board notification (within 1 hour)</w:t>
      </w:r>
    </w:p>
    <w:p>
      <w:pPr>
        <w:pStyle w:val="Code"/>
      </w:pPr>
      <w:r>
        <w:rPr>
          <w:rFonts w:ascii="Courier New" w:hAnsi="Courier New"/>
          <w:sz w:val="18"/>
        </w:rPr>
        <w:t xml:space="preserve">                      └─&gt; Regulatory authority (within 72 hours per GDPR)</w:t>
      </w:r>
    </w:p>
    <w:p>
      <w:pPr>
        <w:pStyle w:val="Heading3"/>
      </w:pPr>
      <w:r>
        <w:t>P1 — Critical</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15 min)</w:t>
      </w:r>
    </w:p>
    <w:p>
      <w:pPr>
        <w:pStyle w:val="Code"/>
      </w:pPr>
      <w:r>
        <w:rPr>
          <w:rFonts w:ascii="Courier New" w:hAnsi="Courier New"/>
          <w:sz w:val="18"/>
        </w:rPr>
        <w:t xml:space="preserve">       └─&gt; Engineering Lead + Security Lead (within 30 min)</w:t>
      </w:r>
    </w:p>
    <w:p>
      <w:pPr>
        <w:pStyle w:val="Code"/>
      </w:pPr>
      <w:r>
        <w:rPr>
          <w:rFonts w:ascii="Courier New" w:hAnsi="Courier New"/>
          <w:sz w:val="18"/>
        </w:rPr>
        <w:t xml:space="preserve">            └─&gt; CTO / CISO (within 1 hour)</w:t>
      </w:r>
    </w:p>
    <w:p>
      <w:pPr>
        <w:pStyle w:val="Code"/>
      </w:pPr>
      <w:r>
        <w:rPr>
          <w:rFonts w:ascii="Courier New" w:hAnsi="Courier New"/>
          <w:sz w:val="18"/>
        </w:rPr>
        <w:t xml:space="preserve">                 └─&gt; DPO for data breach assessment</w:t>
      </w:r>
    </w:p>
    <w:p>
      <w:pPr>
        <w:pStyle w:val="Heading3"/>
      </w:pPr>
      <w:r>
        <w:t>P2 — High</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30 min)</w:t>
      </w:r>
    </w:p>
    <w:p>
      <w:pPr>
        <w:pStyle w:val="Code"/>
      </w:pPr>
      <w:r>
        <w:rPr>
          <w:rFonts w:ascii="Courier New" w:hAnsi="Courier New"/>
          <w:sz w:val="18"/>
        </w:rPr>
        <w:t xml:space="preserve">       └─&gt; Engineering Lead (within 1 hour)</w:t>
      </w:r>
    </w:p>
    <w:p>
      <w:pPr>
        <w:pStyle w:val="Code"/>
      </w:pPr>
      <w:r>
        <w:rPr>
          <w:rFonts w:ascii="Courier New" w:hAnsi="Courier New"/>
          <w:sz w:val="18"/>
        </w:rPr>
        <w:t xml:space="preserve">            └─&gt; CTO (if escalation needed)</w:t>
      </w:r>
    </w:p>
    <w:p>
      <w:pPr>
        <w:pStyle w:val="Heading3"/>
      </w:pPr>
      <w:r>
        <w:t>P3/P4 — Medium/Low</w:t>
      </w:r>
    </w:p>
    <w:p>
      <w:pPr>
        <w:pStyle w:val="Code"/>
      </w:pPr>
      <w:r>
        <w:rPr>
          <w:rFonts w:ascii="Courier New" w:hAnsi="Courier New"/>
          <w:sz w:val="18"/>
        </w:rPr>
        <w:t xml:space="preserve">Discoverer</w:t>
      </w:r>
    </w:p>
    <w:p>
      <w:pPr>
        <w:pStyle w:val="Code"/>
      </w:pPr>
      <w:r>
        <w:rPr>
          <w:rFonts w:ascii="Courier New" w:hAnsi="Courier New"/>
          <w:sz w:val="18"/>
        </w:rPr>
        <w:t xml:space="preserve">  └─&gt; Security channel / ticket</w:t>
      </w:r>
    </w:p>
    <w:p>
      <w:pPr>
        <w:pStyle w:val="Code"/>
      </w:pPr>
      <w:r>
        <w:rPr>
          <w:rFonts w:ascii="Courier New" w:hAnsi="Courier New"/>
          <w:sz w:val="18"/>
        </w:rPr>
        <w:t xml:space="preserve">       └─&gt; Security team triage (next business day for P4)</w:t>
      </w:r>
    </w:p>
    <w:p>
      <w:pPr>
        <w:pBdr>
          <w:bottom w:val="single" w:sz="6" w:space="1" w:color="999999"/>
        </w:pBdr>
      </w:pPr>
    </w:p>
    <w:p>
      <w:pPr>
        <w:pStyle w:val="Heading2"/>
      </w:pPr>
      <w:r>
        <w:t>4. Communication Requirements</w:t>
      </w:r>
    </w:p>
    <w:p>
      <w:r>
        <w:rPr>
          <w:sz w:val="20"/>
        </w:rPr>
        <w:t xml:space="preserve">Level  |  Internal Comms  |  Customer Comms  |  Regulatory Notification  |  Public Disclosure</w:t>
      </w:r>
    </w:p>
    <w:p>
      <w:r>
        <w:rPr>
          <w:sz w:val="20"/>
        </w:rPr>
        <w:t xml:space="preserve">**P0**  |  All-hands war room, executive updates every 30 min  |  Status page + direct email within 1 hour  |  Within 72 hours (GDPR Art. 33) to [[dpo@example.com]](mailto:[dpo@example.com])  |  If data breach confirmed, within 72 hours</w:t>
      </w:r>
    </w:p>
    <w:p>
      <w:r>
        <w:rPr>
          <w:sz w:val="20"/>
        </w:rPr>
        <w:t xml:space="preserve">**P1**  |  Security + engineering channel, executive update hourly  |  Status page update, affected users notified within 24 hours  |  Assess within 36 hours, notify if required  |  Only if legally required</w:t>
      </w:r>
    </w:p>
    <w:p>
      <w:r>
        <w:rPr>
          <w:sz w:val="20"/>
        </w:rPr>
        <w:t xml:space="preserve">**P2**  |  Security channel, engineering lead notified  |  Status page if user-facing impact  |  Assess within 72 hours  |  No</w:t>
      </w:r>
    </w:p>
    <w:p>
      <w:r>
        <w:rPr>
          <w:sz w:val="20"/>
        </w:rPr>
        <w:t xml:space="preserve">**P3**  |  Security ticket, weekly summary  |  No  |  No (unless investigation escalates)  |  No</w:t>
      </w:r>
    </w:p>
    <w:p>
      <w:r>
        <w:rPr>
          <w:sz w:val="20"/>
        </w:rPr>
        <w:t xml:space="preserve">**P4**  |  Security ticket  |  No  |  No  |  No</w:t>
      </w:r>
    </w:p>
    <w:p>
      <w:pPr>
        <w:pBdr>
          <w:bottom w:val="single" w:sz="6" w:space="1" w:color="999999"/>
        </w:pBdr>
      </w:pPr>
    </w:p>
    <w:p>
      <w:pPr>
        <w:pStyle w:val="Heading2"/>
      </w:pPr>
      <w:r>
        <w:t>5. Communication Channels</w:t>
      </w:r>
    </w:p>
    <w:p>
      <w:r>
        <w:rPr>
          <w:sz w:val="20"/>
        </w:rPr>
        <w:t xml:space="preserve">Channel  |  Used For  |  Access</w:t>
      </w:r>
    </w:p>
    <w:p>
      <w:r>
        <w:rPr>
          <w:sz w:val="20"/>
        </w:rPr>
        <w:t xml:space="preserve">Security email ([[your-email@example.com]](mailto:[your-email@example.com]))  |  External reports, regulatory correspondence  |  Security team</w:t>
      </w:r>
    </w:p>
    <w:p>
      <w:r>
        <w:rPr>
          <w:sz w:val="20"/>
        </w:rPr>
        <w:t xml:space="preserve">#security-incidents (Slack/Teams)  |  Real-time incident coordination  |  Security + engineering</w:t>
      </w:r>
    </w:p>
    <w:p>
      <w:r>
        <w:rPr>
          <w:sz w:val="20"/>
        </w:rPr>
        <w:t xml:space="preserve">War room (video call)  |  P0/P1 live coordination  |  All responders</w:t>
      </w:r>
    </w:p>
    <w:p>
      <w:r>
        <w:rPr>
          <w:sz w:val="20"/>
        </w:rPr>
        <w:t xml:space="preserve">Incident management tool  |  Ticket tracking, timeline documentation  |  All staff</w:t>
      </w:r>
    </w:p>
    <w:p>
      <w:r>
        <w:rPr>
          <w:sz w:val="20"/>
        </w:rPr>
        <w:t xml:space="preserve">Status page  |  Customer-facing incident updates  |  Public</w:t>
      </w:r>
    </w:p>
    <w:p>
      <w:pPr>
        <w:pBdr>
          <w:bottom w:val="single" w:sz="6" w:space="1" w:color="999999"/>
        </w:pBdr>
      </w:pPr>
    </w:p>
    <w:p>
      <w:pPr>
        <w:pStyle w:val="Heading2"/>
      </w:pPr>
      <w:r>
        <w:t>6. Per-Service Impact Assessment</w:t>
      </w:r>
    </w:p>
    <w:p>
      <w:r>
        <w:t xml:space="preserve">Severity classification when each detected service is compromised or experiences an outage.</w:t>
      </w:r>
    </w:p>
    <w:p>
      <w:r>
        <w:rPr>
          <w:sz w:val="20"/>
        </w:rPr>
        <w:t xml:space="preserve">Service  |  Category  |  If Compromised  |  If Outage  |  Data at Risk  |  Regulatory Impact</w:t>
      </w:r>
    </w:p>
    <w:p>
      <w:r>
        <w:rPr>
          <w:sz w:val="20"/>
        </w:rPr>
        <w:t xml:space="preserve">@amplitude/analytics-browser  |  analytics  |  **P1**  |  **P3**  |  user behavior, device information, session data  |  ePrivacy, GDPR Art. 6/7 (consent)</w:t>
      </w:r>
    </w:p>
    <w:p>
      <w:r>
        <w:rPr>
          <w:sz w:val="20"/>
        </w:rPr>
        <w:t xml:space="preserve">@aws-sdk/client-s3  |  storage  |  **P1**  |  **P2**  |  uploaded files, file metadata  |  GDPR Art. 33/34 if PII stored</w:t>
      </w:r>
    </w:p>
    <w:p>
      <w:r>
        <w:rPr>
          <w:sz w:val="20"/>
        </w:rPr>
        <w:t xml:space="preserve">@twilio/voice-sdk  |  other  |  **P2**  |  **P3**  |  phone numbers, voice call metadata, call recordings  |  Assess per data processed</w:t>
      </w:r>
    </w:p>
    <w:p>
      <w:r>
        <w:rPr>
          <w:sz w:val="20"/>
        </w:rPr>
        <w:t xml:space="preserve">ActionCable  |  other  |  **P2**  |  **P3**  |  real-time user data, connection metadata, channel subscriptions  |  Assess per data processed</w:t>
      </w:r>
    </w:p>
    <w:p>
      <w:r>
        <w:rPr>
          <w:sz w:val="20"/>
        </w:rPr>
        <w:t xml:space="preserve">ActionController::Cookies  |  other  |  **P2**  |  **P3**  |  session cookies, session data, CSRF tokens  |  Assess per data processed</w:t>
      </w:r>
    </w:p>
    <w:p>
      <w:r>
        <w:rPr>
          <w:sz w:val="20"/>
        </w:rPr>
        <w:t xml:space="preserve">ActionMailer  |  email  |  **P1**  |  **P2**  |  email addresses, email content  |  CAN-SPAM, GDPR Art. 33/34</w:t>
      </w:r>
    </w:p>
    <w:p>
      <w:r>
        <w:rPr>
          <w:sz w:val="20"/>
        </w:rPr>
        <w:t xml:space="preserve">Active Storage  |  storage  |  **P1**  |  **P2**  |  uploaded files, file metadata, storage service credentials  |  GDPR Art. 33/34 if PII stored</w:t>
      </w:r>
    </w:p>
    <w:p>
      <w:r>
        <w:rPr>
          <w:sz w:val="20"/>
        </w:rPr>
        <w:t xml:space="preserve">ActiveRecord  |  database  |  **P0**  |  **P1**  |  user data as defined in schema, timestamps, associations  |  GDPR Art. 33/34, data breach notification</w:t>
      </w:r>
    </w:p>
    <w:p>
      <w:r>
        <w:rPr>
          <w:sz w:val="20"/>
        </w:rPr>
        <w:t xml:space="preserve">ActiveStorage  |  storage  |  **P1**  |  **P2**  |  uploaded files, file metadata, storage references  |  GDPR Art. 33/34 if PII stored</w:t>
      </w:r>
    </w:p>
    <w:p>
      <w:r>
        <w:rPr>
          <w:sz w:val="20"/>
        </w:rPr>
        <w:t xml:space="preserve">aws-sdk-s3  |  storage  |  **P1**  |  **P2**  |  uploaded files, file metadata  |  GDPR Art. 33/34 if PII stored</w:t>
      </w:r>
    </w:p>
    <w:p>
      <w:r>
        <w:rPr>
          <w:sz w:val="20"/>
        </w:rPr>
        <w:t xml:space="preserve">devise  |  auth  |  **P0**  |  **P1**  |  email, password hash, session data  |  GDPR Art. 33/34, credential breach notification</w:t>
      </w:r>
    </w:p>
    <w:p>
      <w:r>
        <w:rPr>
          <w:sz w:val="20"/>
        </w:rPr>
        <w:t xml:space="preserve">google-cloud-storage  |  storage  |  **P1**  |  **P2**  |  uploaded files, file metadata  |  GDPR Art. 33/34 if PII stored</w:t>
      </w:r>
    </w:p>
    <w:p>
      <w:r>
        <w:rPr>
          <w:sz w:val="20"/>
        </w:rPr>
        <w:t xml:space="preserve">ioredis  |  database  |  **P0**  |  **P1**  |  cached data, session data  |  GDPR Art. 33/34, data breach notification</w:t>
      </w:r>
    </w:p>
    <w:p>
      <w:r>
        <w:rPr>
          <w:sz w:val="20"/>
        </w:rPr>
        <w:t xml:space="preserve">MailHog  |  email  |  **P1**  |  **P2**  |  email content  |  CAN-SPAM, GDPR Art. 33/34</w:t>
      </w:r>
    </w:p>
    <w:p>
      <w:r>
        <w:rPr>
          <w:sz w:val="20"/>
        </w:rPr>
        <w:t xml:space="preserve">Meta Pixel  |  advertising  |  **P2**  |  **P3**  |  page views, conversion events, user behavior  |  Assess per data processed</w:t>
      </w:r>
    </w:p>
    <w:p>
      <w:r>
        <w:rPr>
          <w:sz w:val="20"/>
        </w:rPr>
        <w:t xml:space="preserve">nodemailer  |  email  |  **P1**  |  **P2**  |  email addresses, email content  |  CAN-SPAM, GDPR Art. 33/34</w:t>
      </w:r>
    </w:p>
    <w:p>
      <w:r>
        <w:rPr>
          <w:sz w:val="20"/>
        </w:rPr>
        <w:t xml:space="preserve">omniauth  |  auth  |  **P0**  |  **P1**  |  email, name, OAuth tokens  |  GDPR Art. 33/34, credential breach notification</w:t>
      </w:r>
    </w:p>
    <w:p>
      <w:r>
        <w:rPr>
          <w:sz w:val="20"/>
        </w:rPr>
        <w:t xml:space="preserve">pg  |  database  |  **P0**  |  **P1**  |  user data as defined in schema  |  GDPR Art. 33/34, data breach notification</w:t>
      </w:r>
    </w:p>
    <w:p>
      <w:r>
        <w:rPr>
          <w:sz w:val="20"/>
        </w:rPr>
        <w:t xml:space="preserve">PostgreSQL (env)  |  database  |  **P0**  |  **P1**  |  application data, user records  |  GDPR Art. 33/34, data breach notification</w:t>
      </w:r>
    </w:p>
    <w:p>
      <w:r>
        <w:rPr>
          <w:sz w:val="20"/>
        </w:rPr>
        <w:t xml:space="preserve">pundit  |  auth  |  **P0**  |  **P1**  |  user roles, authorization policies, access control data  |  GDPR Art. 33/34, credential breach notification</w:t>
      </w:r>
    </w:p>
    <w:p>
      <w:r>
        <w:rPr>
          <w:sz w:val="20"/>
        </w:rPr>
        <w:t xml:space="preserve">rack-attack  |  other  |  **P2**  |  **P3**  |  IP addresses, request metadata  |  Assess per data processed</w:t>
      </w:r>
    </w:p>
    <w:p>
      <w:r>
        <w:rPr>
          <w:sz w:val="20"/>
        </w:rPr>
        <w:t xml:space="preserve">rails-actionmailer  |  email  |  **P1**  |  **P2**  |  email addresses, email content  |  CAN-SPAM, GDPR Art. 33/34</w:t>
      </w:r>
    </w:p>
    <w:p>
      <w:r>
        <w:rPr>
          <w:sz w:val="20"/>
        </w:rPr>
        <w:t xml:space="preserve">rails-activerecord  |  database  |  **P0**  |  **P1**  |  user data as defined in schema  |  GDPR Art. 33/34, data breach notification</w:t>
      </w:r>
    </w:p>
    <w:p>
      <w:r>
        <w:rPr>
          <w:sz w:val="20"/>
        </w:rPr>
        <w:t xml:space="preserve">rails-sessions  |  auth  |  **P0**  |  **P1**  |  session cookies, CSRF tokens  |  GDPR Art. 33/34, credential breach notification</w:t>
      </w:r>
    </w:p>
    <w:p>
      <w:r>
        <w:rPr>
          <w:sz w:val="20"/>
        </w:rPr>
        <w:t xml:space="preserve">redis  |  database  |  **P0**  |  **P1**  |  cached data, session data  |  GDPR Art. 33/34, data breach notification</w:t>
      </w:r>
    </w:p>
    <w:p>
      <w:r>
        <w:rPr>
          <w:sz w:val="20"/>
        </w:rPr>
        <w:t xml:space="preserve">Redis  |  database  |  **P0**  |  **P1**  |  session data, cache data  |  GDPR Art. 33/34, data breach notification</w:t>
      </w:r>
    </w:p>
    <w:p>
      <w:r>
        <w:rPr>
          <w:sz w:val="20"/>
        </w:rPr>
        <w:t xml:space="preserve">Redis (env)  |  database  |  **P0**  |  **P1**  |  session data, cache data  |  GDPR Art. 33/34, data breach notification</w:t>
      </w:r>
    </w:p>
    <w:p>
      <w:r>
        <w:rPr>
          <w:sz w:val="20"/>
        </w:rPr>
        <w:t xml:space="preserve">ruby-openai  |  ai  |  **P0**  |  **P2**  |  user prompts, conversation history, generated content  |  EU AI Act, GDPR Art. 22 (automated decisions)</w:t>
      </w:r>
    </w:p>
    <w:p>
      <w:r>
        <w:rPr>
          <w:sz w:val="20"/>
        </w:rPr>
        <w:t xml:space="preserve">sentry-ruby  |  monitoring  |  **P2**  |  **P2**  |  error data, stack traces, user context  |  Minimal direct regulatory impact</w:t>
      </w:r>
    </w:p>
    <w:p>
      <w:r>
        <w:rPr>
          <w:sz w:val="20"/>
        </w:rPr>
        <w:t xml:space="preserve">sidekiq  |  other  |  **P2**  |  **P3**  |  job data, user data processed in background jobs  |  Assess per data processed</w:t>
      </w:r>
    </w:p>
    <w:p>
      <w:r>
        <w:rPr>
          <w:sz w:val="20"/>
        </w:rPr>
        <w:t xml:space="preserve">stripe  |  payment  |  **P0**  |  **P1**  |  payment information, billing address, email  |  PCI DSS, GDPR Art. 33/34</w:t>
      </w:r>
    </w:p>
    <w:p>
      <w:r>
        <w:rPr>
          <w:sz w:val="20"/>
        </w:rPr>
        <w:t xml:space="preserve">twilio-ruby  |  other  |  **P2**  |  **P3**  |  phone numbers, SMS message content, voice call metadata  |  Assess per data processed</w:t>
      </w:r>
    </w:p>
    <w:p>
      <w:pPr>
        <w:pBdr>
          <w:bottom w:val="single" w:sz="6" w:space="1" w:color="999999"/>
        </w:pBdr>
      </w:pPr>
    </w:p>
    <w:p>
      <w:pPr>
        <w:pStyle w:val="Heading2"/>
      </w:pPr>
      <w:r>
        <w:t>7. Category-Specific Incident Scenarios</w:t>
      </w:r>
    </w:p>
    <w:p>
      <w:pPr>
        <w:pStyle w:val="Heading3"/>
      </w:pPr>
      <w:r>
        <w:t>AI Services</w:t>
      </w:r>
    </w:p>
    <w:p>
      <w:r>
        <w:rPr>
          <w:sz w:val="20"/>
        </w:rPr>
        <w:t xml:space="preserve">Scenario  |  Severity  |  Response Action</w:t>
      </w:r>
    </w:p>
    <w:p>
      <w:r>
        <w:rPr>
          <w:sz w:val="20"/>
        </w:rPr>
        <w:t xml:space="preserve">User PII leaked through AI prompts  |  **P0**  |  Disable AI feature, assess data exposure, notify affected users</w:t>
      </w:r>
    </w:p>
    <w:p>
      <w:r>
        <w:rPr>
          <w:sz w:val="20"/>
        </w:rPr>
        <w:t xml:space="preserve">Prompt injection bypasses safety controls  |  **P1**  |  Throttle AI endpoint, deploy input validation fix, audit recent outputs</w:t>
      </w:r>
    </w:p>
    <w:p>
      <w:r>
        <w:rPr>
          <w:sz w:val="20"/>
        </w:rPr>
        <w:t xml:space="preserve">AI model produces biased/discriminatory output  |  **P2**  |  Document instances, add guardrails, notify AI ethics team</w:t>
      </w:r>
    </w:p>
    <w:p>
      <w:r>
        <w:rPr>
          <w:sz w:val="20"/>
        </w:rPr>
        <w:t xml:space="preserve">AI service provider data breach  |  **P1**  |  Assess data shared with provider, rotate API keys, review DPA obligations</w:t>
      </w:r>
    </w:p>
    <w:p>
      <w:r>
        <w:rPr>
          <w:sz w:val="20"/>
        </w:rPr>
        <w:t xml:space="preserve">AI hallucination causes user harm  |  **P2**  |  Add output disclaimers, review and strengthen validation layer</w:t>
      </w:r>
    </w:p>
    <w:p>
      <w:pPr>
        <w:pStyle w:val="Heading3"/>
      </w:pPr>
      <w:r>
        <w:t>Payment Services</w:t>
      </w:r>
    </w:p>
    <w:p>
      <w:r>
        <w:rPr>
          <w:sz w:val="20"/>
        </w:rPr>
        <w:t xml:space="preserve">Scenario  |  Severity  |  Response Action</w:t>
      </w:r>
    </w:p>
    <w:p>
      <w:r>
        <w:rPr>
          <w:sz w:val="20"/>
        </w:rPr>
        <w:t xml:space="preserve">Cardholder data exposed  |  **P0**  |  Isolate systems, notify payment processor within 24h, engage PCI forensic investigator</w:t>
      </w:r>
    </w:p>
    <w:p>
      <w:r>
        <w:rPr>
          <w:sz w:val="20"/>
        </w:rPr>
        <w:t xml:space="preserve">Payment processing outage  |  **P1**  |  Activate backup processor, communicate to affected customers</w:t>
      </w:r>
    </w:p>
    <w:p>
      <w:r>
        <w:rPr>
          <w:sz w:val="20"/>
        </w:rPr>
        <w:t xml:space="preserve">Fraudulent transactions detected  |  **P2**  |  Flag accounts, review transaction logs, strengthen fraud detection</w:t>
      </w:r>
    </w:p>
    <w:p>
      <w:r>
        <w:rPr>
          <w:sz w:val="20"/>
        </w:rPr>
        <w:t xml:space="preserve">PCI DSS compliance gap discovered  |  **P3**  |  Document gap, create remediation plan, assess risk</w:t>
      </w:r>
    </w:p>
    <w:p>
      <w:pPr>
        <w:pStyle w:val="Heading3"/>
      </w:pPr>
      <w:r>
        <w:t>Authentication Services</w:t>
      </w:r>
    </w:p>
    <w:p>
      <w:r>
        <w:rPr>
          <w:sz w:val="20"/>
        </w:rPr>
        <w:t xml:space="preserve">Scenario  |  Severity  |  Response Action</w:t>
      </w:r>
    </w:p>
    <w:p>
      <w:r>
        <w:rPr>
          <w:sz w:val="20"/>
        </w:rPr>
        <w:t xml:space="preserve">Complete auth bypass discovered  |  **P0**  |  Disable affected auth flow, force re-authentication, rotate all sessions</w:t>
      </w:r>
    </w:p>
    <w:p>
      <w:r>
        <w:rPr>
          <w:sz w:val="20"/>
        </w:rPr>
        <w:t xml:space="preserve">Credential stuffing attack in progress  |  **P1**  |  Enable rate limiting, lock affected accounts, force password resets</w:t>
      </w:r>
    </w:p>
    <w:p>
      <w:r>
        <w:rPr>
          <w:sz w:val="20"/>
        </w:rPr>
        <w:t xml:space="preserve">OAuth token leak  |  **P1**  |  Revoke leaked tokens, rotate secrets, audit access logs</w:t>
      </w:r>
    </w:p>
    <w:p>
      <w:r>
        <w:rPr>
          <w:sz w:val="20"/>
        </w:rPr>
        <w:t xml:space="preserve">Auth provider outage  |  **P2**  |  Activate fallback auth, communicate login issues to users</w:t>
      </w:r>
    </w:p>
    <w:p>
      <w:pPr>
        <w:pStyle w:val="Heading3"/>
      </w:pPr>
      <w:r>
        <w:t>Database &amp; Storage Services</w:t>
      </w:r>
    </w:p>
    <w:p>
      <w:r>
        <w:rPr>
          <w:sz w:val="20"/>
        </w:rPr>
        <w:t xml:space="preserve">Scenario  |  Severity  |  Response Action</w:t>
      </w:r>
    </w:p>
    <w:p>
      <w:r>
        <w:rPr>
          <w:sz w:val="20"/>
        </w:rPr>
        <w:t xml:space="preserve">Database exposed to internet  |  **P0**  |  Restrict network access immediately, audit data access logs, rotate credentials</w:t>
      </w:r>
    </w:p>
    <w:p>
      <w:r>
        <w:rPr>
          <w:sz w:val="20"/>
        </w:rPr>
        <w:t xml:space="preserve">Unauthorized database query detected  |  **P1**  |  Revoke access, investigate query scope, assess data exposure</w:t>
      </w:r>
    </w:p>
    <w:p>
      <w:r>
        <w:rPr>
          <w:sz w:val="20"/>
        </w:rPr>
        <w:t xml:space="preserve">Storage bucket misconfiguration  |  **P1**  |  Lock down permissions, audit exposed files, notify if PII exposed</w:t>
      </w:r>
    </w:p>
    <w:p>
      <w:r>
        <w:rPr>
          <w:sz w:val="20"/>
        </w:rPr>
        <w:t xml:space="preserve">Database corruption / data loss  |  **P2**  |  Activate backup restoration, assess data integrity</w:t>
      </w:r>
    </w:p>
    <w:p>
      <w:pPr>
        <w:pStyle w:val="Heading3"/>
      </w:pPr>
      <w:r>
        <w:t>Analytics Services</w:t>
      </w:r>
    </w:p>
    <w:p>
      <w:r>
        <w:rPr>
          <w:sz w:val="20"/>
        </w:rPr>
        <w:t xml:space="preserve">Scenario  |  Severity  |  Response Action</w:t>
      </w:r>
    </w:p>
    <w:p>
      <w:r>
        <w:rPr>
          <w:sz w:val="20"/>
        </w:rPr>
        <w:t xml:space="preserve">Analytics collecting PII without consent  |  **P2**  |  Disable data collection, audit consent records, update cookie consent config</w:t>
      </w:r>
    </w:p>
    <w:p>
      <w:r>
        <w:rPr>
          <w:sz w:val="20"/>
        </w:rPr>
        <w:t xml:space="preserve">Analytics data shared with unauthorized third party  |  **P1**  |  Revoke access, assess GDPR Art. 33 notification requirement</w:t>
      </w:r>
    </w:p>
    <w:p>
      <w:r>
        <w:rPr>
          <w:sz w:val="20"/>
        </w:rPr>
        <w:t xml:space="preserve">Analytics tracking across domains without disclosure  |  **P3**  |  Update privacy policy, reconfigure tracking parameters</w:t>
      </w:r>
    </w:p>
    <w:p>
      <w:pPr>
        <w:pBdr>
          <w:bottom w:val="single" w:sz="6" w:space="1" w:color="999999"/>
        </w:pBdr>
      </w:pPr>
    </w:p>
    <w:p>
      <w:pPr>
        <w:pStyle w:val="Heading2"/>
      </w:pPr>
      <w:r>
        <w:t>8. Severity Decision Tree</w:t>
      </w:r>
    </w:p>
    <w:p>
      <w:r>
        <w:t xml:space="preserve">Use this decision tree to classify incidents when severity is unclear:</w:t>
      </w:r>
    </w:p>
    <w:p>
      <w:pPr>
        <w:pStyle w:val="Code"/>
      </w:pPr>
      <w:r>
        <w:rPr>
          <w:rFonts w:ascii="Courier New" w:hAnsi="Courier New"/>
          <w:sz w:val="18"/>
        </w:rPr>
        <w:t xml:space="preserve">Is there confirmed data exfiltration or complete system compromise?</w:t>
      </w:r>
    </w:p>
    <w:p>
      <w:pPr>
        <w:pStyle w:val="Code"/>
      </w:pPr>
      <w:r>
        <w:rPr>
          <w:rFonts w:ascii="Courier New" w:hAnsi="Courier New"/>
          <w:sz w:val="18"/>
        </w:rPr>
        <w:t xml:space="preserve">  ├─ YES → P0 (Catastrophic)</w:t>
      </w:r>
    </w:p>
    <w:p>
      <w:pPr>
        <w:pStyle w:val="Code"/>
      </w:pPr>
      <w:r>
        <w:rPr>
          <w:rFonts w:ascii="Courier New" w:hAnsi="Courier New"/>
          <w:sz w:val="18"/>
        </w:rPr>
        <w:t xml:space="preserve">  └─ NO</w:t>
      </w:r>
    </w:p>
    <w:p>
      <w:pPr>
        <w:pStyle w:val="Code"/>
      </w:pPr>
      <w:r>
        <w:rPr>
          <w:rFonts w:ascii="Courier New" w:hAnsi="Courier New"/>
          <w:sz w:val="18"/>
        </w:rPr>
        <w:t xml:space="preserve">       Is there confirmed unauthorized access to PII or critical systems?</w:t>
      </w:r>
    </w:p>
    <w:p>
      <w:pPr>
        <w:pStyle w:val="Code"/>
      </w:pPr>
      <w:r>
        <w:rPr>
          <w:rFonts w:ascii="Courier New" w:hAnsi="Courier New"/>
          <w:sz w:val="18"/>
        </w:rPr>
        <w:t xml:space="preserve">       ├─ YES → P1 (Critical)</w:t>
      </w:r>
    </w:p>
    <w:p>
      <w:pPr>
        <w:pStyle w:val="Code"/>
      </w:pPr>
      <w:r>
        <w:rPr>
          <w:rFonts w:ascii="Courier New" w:hAnsi="Courier New"/>
          <w:sz w:val="18"/>
        </w:rPr>
        <w:t xml:space="preserve">       └─ NO</w:t>
      </w:r>
    </w:p>
    <w:p>
      <w:pPr>
        <w:pStyle w:val="Code"/>
      </w:pPr>
      <w:r>
        <w:rPr>
          <w:rFonts w:ascii="Courier New" w:hAnsi="Courier New"/>
          <w:sz w:val="18"/>
        </w:rPr>
        <w:t xml:space="preserve">            Is there an active exploit or significant service degradation?</w:t>
      </w:r>
    </w:p>
    <w:p>
      <w:pPr>
        <w:pStyle w:val="Code"/>
      </w:pPr>
      <w:r>
        <w:rPr>
          <w:rFonts w:ascii="Courier New" w:hAnsi="Courier New"/>
          <w:sz w:val="18"/>
        </w:rPr>
        <w:t xml:space="preserve">            ├─ YES → P2 (High)</w:t>
      </w:r>
    </w:p>
    <w:p>
      <w:pPr>
        <w:pStyle w:val="Code"/>
      </w:pPr>
      <w:r>
        <w:rPr>
          <w:rFonts w:ascii="Courier New" w:hAnsi="Courier New"/>
          <w:sz w:val="18"/>
        </w:rPr>
        <w:t xml:space="preserve">            └─ NO</w:t>
      </w:r>
    </w:p>
    <w:p>
      <w:pPr>
        <w:pStyle w:val="Code"/>
      </w:pPr>
      <w:r>
        <w:rPr>
          <w:rFonts w:ascii="Courier New" w:hAnsi="Courier New"/>
          <w:sz w:val="18"/>
        </w:rPr>
        <w:t xml:space="preserve">                 Is investigation required to determine impact?</w:t>
      </w:r>
    </w:p>
    <w:p>
      <w:pPr>
        <w:pStyle w:val="Code"/>
      </w:pPr>
      <w:r>
        <w:rPr>
          <w:rFonts w:ascii="Courier New" w:hAnsi="Courier New"/>
          <w:sz w:val="18"/>
        </w:rPr>
        <w:t xml:space="preserve">                 ├─ YES → P3 (Medium)</w:t>
      </w:r>
    </w:p>
    <w:p>
      <w:pPr>
        <w:pStyle w:val="Code"/>
      </w:pPr>
      <w:r>
        <w:rPr>
          <w:rFonts w:ascii="Courier New" w:hAnsi="Courier New"/>
          <w:sz w:val="18"/>
        </w:rPr>
        <w:t xml:space="preserve">                 └─ NO → P4 (Low)</w:t>
      </w:r>
    </w:p>
    <w:p>
      <w:pPr>
        <w:pBdr>
          <w:bottom w:val="single" w:sz="6" w:space="1" w:color="999999"/>
        </w:pBdr>
      </w:pPr>
    </w:p>
    <w:p>
      <w:pPr>
        <w:pStyle w:val="Heading2"/>
      </w:pPr>
      <w:r>
        <w:t>9. Regulatory Response Timelines</w:t>
      </w:r>
    </w:p>
    <w:p>
      <w:r>
        <w:t xml:space="preserve">Mandatory notification deadlines by regulation for data breach incidents (P0/P1).</w:t>
      </w:r>
    </w:p>
    <w:p>
      <w:r>
        <w:rPr>
          <w:sz w:val="20"/>
        </w:rPr>
        <w:t xml:space="preserve">Regulation  |  Authority Notification  |  Individual Notification  |  Key Requirement</w:t>
      </w:r>
    </w:p>
    <w:p>
      <w:r>
        <w:rPr>
          <w:sz w:val="20"/>
        </w:rPr>
        <w:t xml:space="preserve">GDPR (Art. 33/34)  |  **72 hours**  |  Without undue delay (high risk)  |  Must document all breaches regardless of notification</w:t>
      </w:r>
    </w:p>
    <w:p>
      <w:r>
        <w:rPr>
          <w:sz w:val="20"/>
        </w:rPr>
        <w:t xml:space="preserve">UK GDPR  |  **72 hours**  |  Without undue delay (high risk)  |  Notify ICO via online portal</w:t>
      </w:r>
    </w:p>
    <w:p>
      <w:r>
        <w:rPr>
          <w:sz w:val="20"/>
        </w:rPr>
        <w:t xml:space="preserve">CCPA/CPRA  |  Varies by state  |  Without unreasonable delay  |  AG notification for 500+ CA residents</w:t>
      </w:r>
    </w:p>
    <w:p>
      <w:r>
        <w:rPr>
          <w:sz w:val="20"/>
        </w:rPr>
        <w:t xml:space="preserve">PCI DSS  |  **24 hours** (to processor)  |  As required  |  Engage PCI Forensic Investigator (PFI)</w:t>
      </w:r>
    </w:p>
    <w:p>
      <w:r>
        <w:rPr>
          <w:sz w:val="20"/>
        </w:rPr>
        <w:t xml:space="preserve">EU AI Act  |  As required by severity  |  Depends on risk level  |  Additional obligations for high-risk AI systems</w:t>
      </w:r>
    </w:p>
    <w:p>
      <w:r>
        <w:rPr>
          <w:sz w:val="20"/>
        </w:rPr>
        <w:t xml:space="preserve">ePrivacy  |  Per member state law  |  Per member state law  |  Cookie/tracking specific requirements</w:t>
      </w:r>
    </w:p>
    <w:p>
      <w:pPr>
        <w:pBdr>
          <w:bottom w:val="single" w:sz="6" w:space="1" w:color="999999"/>
        </w:pBdr>
      </w:pPr>
    </w:p>
    <w:p>
      <w:pPr>
        <w:pStyle w:val="Heading2"/>
      </w:pPr>
      <w:r>
        <w:t>10. Incident Response Roles</w:t>
      </w:r>
    </w:p>
    <w:p>
      <w:r>
        <w:rPr>
          <w:sz w:val="20"/>
        </w:rPr>
        <w:t xml:space="preserve">Role  |  P0 Responsibility  |  P1-P2 Responsibility  |  P3-P4 Responsibility</w:t>
      </w:r>
    </w:p>
    <w:p>
      <w:r>
        <w:rPr>
          <w:sz w:val="20"/>
        </w:rPr>
        <w:t xml:space="preserve">**Incident Commander**  |  Leads war room, all decisions  |  Coordinates response  |  Reviews report</w:t>
      </w:r>
    </w:p>
    <w:p>
      <w:r>
        <w:rPr>
          <w:sz w:val="20"/>
        </w:rPr>
        <w:t xml:space="preserve">**Security Lead**  |  Active investigation, containment  |  Investigation lead  |  Triages tickets</w:t>
      </w:r>
    </w:p>
    <w:p>
      <w:r>
        <w:rPr>
          <w:sz w:val="20"/>
        </w:rPr>
        <w:t xml:space="preserve">**Engineering Lead**  |  Emergency fixes, system isolation  |  Deploys fixes  |  Assigns fixes</w:t>
      </w:r>
    </w:p>
    <w:p>
      <w:r>
        <w:rPr>
          <w:sz w:val="20"/>
        </w:rPr>
        <w:t xml:space="preserve">**DPO** ([[dpo@example.com]](mailto:[dpo@example.com]))  |  Regulatory notification decision  |  Breach assessment  |  Monthly review</w:t>
      </w:r>
    </w:p>
    <w:p>
      <w:r>
        <w:rPr>
          <w:sz w:val="20"/>
        </w:rPr>
        <w:t xml:space="preserve">**Communications Lead**  |  Customer + public messaging  |  Status page updates  |  No action</w:t>
      </w:r>
    </w:p>
    <w:p>
      <w:r>
        <w:rPr>
          <w:sz w:val="20"/>
        </w:rPr>
        <w:t xml:space="preserve">**Legal Counsel**  |  Regulatory response, evidence preservation  |  Legal assessment  |  No action</w:t>
      </w:r>
    </w:p>
    <w:p>
      <w:r>
        <w:rPr>
          <w:sz w:val="20"/>
        </w:rPr>
        <w:t xml:space="preserve">**Executive Sponsor**  |  Final authority, board comms  |  Informed, escalation  |  Informed via report</w:t>
      </w:r>
    </w:p>
    <w:p>
      <w:pPr>
        <w:pBdr>
          <w:bottom w:val="single" w:sz="6" w:space="1" w:color="999999"/>
        </w:pBdr>
      </w:pPr>
    </w:p>
    <w:p>
      <w:r>
        <w:t xml:space="preserve">This incident severity matrix was generated by [Codepliant](https://github.com/joechensmartz/codepliant) based on an automated scan of the @chatwoot/chatwoot codebase (32 services detected). Customize response times, escalation paths, and roles to match your organization's structure. This document should be reviewed by your security team and legal counsel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