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Payment Data Security</w:t>
      </w:r>
    </w:p>
    <w:p>
      <w:r>
        <w:t xml:space="preserve">Suppliers handling payment data must additionally: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(Level 1 or 2 as applicable)</w:t>
      </w:r>
    </w:p>
    <w:p>
      <w:pPr>
        <w:pStyle w:val="ListParagraph"/>
        <w:numPr>
          <w:ilvl w:val="0"/>
          <w:numId w:val="1"/>
        </w:numPr>
      </w:pPr>
      <w:r>
        <w:t xml:space="preserve">Provide a current Attestation of Compliance (AoC)</w:t>
      </w:r>
    </w:p>
    <w:p>
      <w:pPr>
        <w:pStyle w:val="ListParagraph"/>
        <w:numPr>
          <w:ilvl w:val="0"/>
          <w:numId w:val="1"/>
        </w:numPr>
      </w:pPr>
      <w:r>
        <w:t xml:space="preserve">Never store primary account numbers (PANs) in plaintext</w:t>
      </w:r>
    </w:p>
    <w:p>
      <w:pPr>
        <w:pStyle w:val="ListParagraph"/>
        <w:numPr>
          <w:ilvl w:val="0"/>
          <w:numId w:val="1"/>
        </w:numPr>
      </w:pPr>
      <w:r>
        <w:t xml:space="preserve">Implement tokenization for card data where possible</w:t>
      </w:r>
    </w:p>
    <w:p>
      <w:pPr>
        <w:pStyle w:val="Heading3"/>
      </w:pPr>
      <w:r>
        <w:t>3.3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AI &amp; Machine Learning Data</w:t>
      </w:r>
    </w:p>
    <w:p>
      <w:r>
        <w:t xml:space="preserve">Suppliers providing AI or machine learning services must:</w:t>
      </w:r>
    </w:p>
    <w:p>
      <w:pPr>
        <w:pStyle w:val="ListParagraph"/>
        <w:numPr>
          <w:ilvl w:val="0"/>
          <w:numId w:val="1"/>
        </w:numPr>
      </w:pPr>
      <w:r>
        <w:t xml:space="preserve">Not use [Your Company Name]'s data to train models without explicit written consent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regarding AI model training data sources</w:t>
      </w:r>
    </w:p>
    <w:p>
      <w:pPr>
        <w:pStyle w:val="ListParagraph"/>
        <w:numPr>
          <w:ilvl w:val="0"/>
          <w:numId w:val="1"/>
        </w:numPr>
      </w:pPr>
      <w:r>
        <w:t xml:space="preserve">Implement bias monitoring and fairness assessments</w:t>
      </w:r>
    </w:p>
    <w:p>
      <w:pPr>
        <w:pStyle w:val="ListParagraph"/>
        <w:numPr>
          <w:ilvl w:val="0"/>
          <w:numId w:val="1"/>
        </w:numPr>
      </w:pPr>
      <w:r>
        <w:t xml:space="preserve">Comply with the EU AI Act classification requirements</w:t>
      </w:r>
    </w:p>
    <w:p>
      <w:pPr>
        <w:pStyle w:val="ListParagraph"/>
        <w:numPr>
          <w:ilvl w:val="0"/>
          <w:numId w:val="1"/>
        </w:numPr>
      </w:pPr>
      <w:r>
        <w:t xml:space="preserve">Provide clear documentation of automated decision-making processes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@amplitude/analytics-browser  |  analytics  |  user behavior, device information, session data</w:t>
      </w:r>
    </w:p>
    <w:p>
      <w:r>
        <w:rPr>
          <w:sz w:val="20"/>
        </w:rPr>
        <w:t xml:space="preserve">@aws-sdk/client-s3  |  storage  |  uploaded files, file metadata</w:t>
      </w:r>
    </w:p>
    <w:p>
      <w:r>
        <w:rPr>
          <w:sz w:val="20"/>
        </w:rPr>
        <w:t xml:space="preserve">@twilio/voice-sdk  |  other  |  phone numbers, voice call metadata, call recordings, device information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google-cloud-storage  |  storage  |  uploaded files, file metadata</w:t>
      </w:r>
    </w:p>
    <w:p>
      <w:r>
        <w:rPr>
          <w:sz w:val="20"/>
        </w:rPr>
        <w:t xml:space="preserve">MailHog  |  email  |  email content</w:t>
      </w:r>
    </w:p>
    <w:p>
      <w:r>
        <w:rPr>
          <w:sz w:val="20"/>
        </w:rPr>
        <w:t xml:space="preserve">Meta Pixel  |  advertising  |  page views, conversion events, user behavior, device information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Redis (env)  |  database  |  session data, cache data</w:t>
      </w:r>
    </w:p>
    <w:p>
      <w:r>
        <w:rPr>
          <w:sz w:val="20"/>
        </w:rPr>
        <w:t xml:space="preserve">ruby-openai  |  ai  |  user prompts, conversation history, generated content</w:t>
      </w:r>
    </w:p>
    <w:p>
      <w:r>
        <w:rPr>
          <w:sz w:val="20"/>
        </w:rPr>
        <w:t xml:space="preserve">sentry-ruby  |  monitoring  |  error data, stack traces, user context, device information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r>
        <w:rPr>
          <w:sz w:val="20"/>
        </w:rPr>
        <w:t xml:space="preserve">twilio-ruby  |  other  |  phone numbers, SMS message content, voice call metadata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