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**14**</w:t>
      </w:r>
    </w:p>
    <w:p>
      <w:r>
        <w:rPr>
          <w:sz w:val="20"/>
        </w:rPr>
        <w:t xml:space="preserve">Critical Gaps  |  **5**</w:t>
      </w:r>
    </w:p>
    <w:p>
      <w:r>
        <w:rPr>
          <w:sz w:val="20"/>
        </w:rPr>
        <w:t xml:space="preserve">High Priority Gaps  |  **8**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13</w:t>
      </w:r>
    </w:p>
    <w:p>
      <w:r>
        <w:rPr>
          <w:sz w:val="20"/>
        </w:rPr>
        <w:t xml:space="preserve">Regulations Covered  |  GDPR, EU AI Act, PCI DSS, ePrivacy,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AI services detected — DPIA likely required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Consent Management (Art. 6/7)  |  Analytics/advertising services detected — consent required  |  CMP deployed; consent recorded before any tracking; withdrawal mechanism operational  |  Deploy consent management platform; block trackers until consent obtained  |  🔴 Critical  |  Medium</w:t>
      </w:r>
    </w:p>
    <w:p>
      <w:r>
        <w:rPr>
          <w:sz w:val="20"/>
        </w:rPr>
        <w:t xml:space="preserve">AI System Transparency (Art. 50)  |  AI disclosure and model card generated  |  AI usage disclosed in product UI; users informed before AI interaction  |  Add in-product AI disclosure; link to model card from UI  |  🔴 Critical  |  Low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13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13 third-party services detected  |  Signed DPAs with all sub-processors; annual review process  |  Obtain signed DPAs from all 13 detected sub-processors  |  🟠 High  |  Medium</w:t>
      </w:r>
    </w:p>
    <w:p>
      <w:r>
        <w:rPr>
          <w:sz w:val="20"/>
        </w:rPr>
        <w:t xml:space="preserve">AI Risk Classification  |  AI risk level not classified  |  All AI systems classified; high-risk systems registered in EU database  |  Classify AI systems by risk level  |  🟠 High  |  Medium</w:t>
      </w:r>
    </w:p>
    <w:p>
      <w:r>
        <w:rPr>
          <w:sz w:val="20"/>
        </w:rPr>
        <w:t xml:space="preserve">Human Oversight (Art. 14)  |  AI governance framework generated  |  Human oversight mechanisms implemented; override capabilities documented  |  Implement human review workflow for AI decisions; document override procedures  |  🟠 High  |  High</w:t>
      </w:r>
    </w:p>
    <w:p>
      <w:r>
        <w:rPr>
          <w:sz w:val="20"/>
        </w:rPr>
        <w:t xml:space="preserve">Cookie Consent (ePrivacy Directive)  |  Cookie inventory generated; analytics services detected  |  Cookie banner deployed; consent recorded; non-essential cookies blocked until consent  |  Deploy CMP with granular cookie categories; implement server-side consent enforcement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8 gaps identified (3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🔴 **Consent Management (Art. 6/7)**: Deploy consent management platform; block trackers until consent obtained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13 detected sub-processors *(Effort: Medium)*</w:t>
      </w:r>
    </w:p>
    <w:p>
      <w:pPr>
        <w:pStyle w:val="Heading3"/>
      </w:pPr>
      <w:r>
        <w:t>EU AI Act</w:t>
      </w:r>
    </w:p>
    <w:p>
      <w:r>
        <w:t xml:space="preserve">3 gaps identified (1 critical, 2 high)</w:t>
      </w:r>
    </w:p>
    <w:p>
      <w:pPr>
        <w:pStyle w:val="ListParagraph"/>
        <w:numPr>
          <w:ilvl w:val="0"/>
          <w:numId w:val="1"/>
        </w:numPr>
      </w:pPr>
      <w:r>
        <w:t xml:space="preserve">🔴 **AI System Transparency (Art. 50)**: Add in-product AI disclosure; link to model card from UI *(Effort: Low)*</w:t>
      </w:r>
    </w:p>
    <w:p>
      <w:pPr>
        <w:pStyle w:val="ListParagraph"/>
        <w:numPr>
          <w:ilvl w:val="0"/>
          <w:numId w:val="1"/>
        </w:numPr>
      </w:pPr>
      <w:r>
        <w:t xml:space="preserve">🟠 **AI Risk Classification**: Classify AI systems by risk level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**Human Oversight (Art. 14)**: Implement human review workflow for AI decisions; document override procedures *(Effort: High)*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ePrivacy</w:t>
      </w:r>
    </w:p>
    <w:p>
      <w:r>
        <w:t xml:space="preserve">1 gaps identified (0 critical, 1 high)</w:t>
      </w:r>
    </w:p>
    <w:p>
      <w:pPr>
        <w:pStyle w:val="ListParagraph"/>
        <w:numPr>
          <w:ilvl w:val="0"/>
          <w:numId w:val="1"/>
        </w:numPr>
      </w:pPr>
      <w:r>
        <w:t xml:space="preserve">🟠 **Cookie Consent (ePrivacy Directive)**: Deploy CMP with granular cookie categories; implement server-side consent enforcement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 (Art. 6/7)** (GDPR): Deploy consent management platform; block trackers until consent obtained</w:t>
      </w:r>
    </w:p>
    <w:p>
      <w:pPr>
        <w:pStyle w:val="ListParagraph"/>
        <w:numPr>
          <w:ilvl w:val="0"/>
          <w:numId w:val="1"/>
        </w:numPr>
      </w:pPr>
      <w:r>
        <w:t xml:space="preserve">[ ] **AI System Transparency (Art. 50)** (EU AI Act): Add in-product AI disclosure; link to model card from UI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13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**AI Risk Classification** (EU AI Act): Classify AI systems by risk level</w:t>
      </w:r>
    </w:p>
    <w:p>
      <w:pPr>
        <w:pStyle w:val="ListParagraph"/>
        <w:numPr>
          <w:ilvl w:val="0"/>
          <w:numId w:val="1"/>
        </w:numPr>
      </w:pPr>
      <w:r>
        <w:t xml:space="preserve">[ ] **Human Oversight (Art. 14)** (EU AI Act): Implement human review workflow for AI decisions; document override procedures</w:t>
      </w:r>
    </w:p>
    <w:p>
      <w:pPr>
        <w:pStyle w:val="ListParagraph"/>
        <w:numPr>
          <w:ilvl w:val="0"/>
          <w:numId w:val="1"/>
        </w:numPr>
      </w:pPr>
      <w:r>
        <w:t xml:space="preserve">[ ] **Cookie Consent (ePrivacy Directive)** (ePrivacy): Deploy CMP with granular cookie categories; implement server-side consent enforcement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