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38% ████░░░░░░</w:t>
      </w:r>
    </w:p>
    <w:p>
      <w:r>
        <w:rPr>
          <w:sz w:val="20"/>
        </w:rPr>
        <w:t xml:space="preserve">Regulation  |  Score  |  Progress</w:t>
      </w:r>
    </w:p>
    <w:p>
      <w:r>
        <w:rPr>
          <w:sz w:val="20"/>
        </w:rPr>
        <w:t xml:space="preserve">GDPR  |  **23%**  |  ██░░░░░░░░</w:t>
      </w:r>
    </w:p>
    <w:p>
      <w:r>
        <w:rPr>
          <w:sz w:val="20"/>
        </w:rPr>
        <w:t xml:space="preserve">EU AI Act  |  **35%**  |  ████░░░░░░</w:t>
      </w:r>
    </w:p>
    <w:p>
      <w:r>
        <w:rPr>
          <w:sz w:val="20"/>
        </w:rPr>
        <w:t xml:space="preserve">PCI DSS  |  **25%**  |  ███░░░░░░░</w:t>
      </w:r>
    </w:p>
    <w:p>
      <w:r>
        <w:rPr>
          <w:sz w:val="20"/>
        </w:rPr>
        <w:t xml:space="preserve">SOC 2  |  **70%**  |  ███████░░░</w:t>
      </w:r>
    </w:p>
    <w:p>
      <w:pPr>
        <w:pStyle w:val="Heading2"/>
      </w:pPr>
      <w:r>
        <w:t>Per-Regulation Assessment</w:t>
      </w:r>
    </w:p>
    <w:p>
      <w:pPr>
        <w:pStyle w:val="Heading3"/>
      </w:pPr>
      <w:r>
        <w:t>GDPR — 23%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Action Needed  |  15%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**Consent Management (Art. 6/7)** (15%): Deploy a Consent Management Platform; block trackers until consent is obtained</w:t>
      </w:r>
    </w:p>
    <w:p>
      <w:pPr>
        <w:pStyle w:val="ListParagraph"/>
        <w:numPr>
          <w:ilvl w:val="0"/>
          <w:numId w:val="1"/>
        </w:numPr>
      </w:pPr>
      <w:r>
        <w:t xml:space="preserve">[ ] **Processor Agreements (Art. 28)** (10%): Obtain signed DPAs from all 13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EU AI Act — 35% ████░░░░░░</w:t>
      </w:r>
    </w:p>
    <w:p>
      <w:r>
        <w:t xml:space="preserve">European Union Artificial Intelligence Act</w:t>
      </w:r>
    </w:p>
    <w:p>
      <w:r>
        <w:rPr>
          <w:sz w:val="20"/>
        </w:rPr>
        <w:t xml:space="preserve">Requirement  |  Status  |  Weight</w:t>
      </w:r>
    </w:p>
    <w:p>
      <w:r>
        <w:rPr>
          <w:sz w:val="20"/>
        </w:rPr>
        <w:t xml:space="preserve">AI System Transparency (Art. 50)  |  + Ready  |  20%</w:t>
      </w:r>
    </w:p>
    <w:p>
      <w:r>
        <w:rPr>
          <w:sz w:val="20"/>
        </w:rPr>
        <w:t xml:space="preserve">AI Risk Classification  |  - Action Needed  |  20%</w:t>
      </w:r>
    </w:p>
    <w:p>
      <w:r>
        <w:rPr>
          <w:sz w:val="20"/>
        </w:rPr>
        <w:t xml:space="preserve">Human Oversight (Art. 14)  |  - Action Needed  |  20%</w:t>
      </w:r>
    </w:p>
    <w:p>
      <w:r>
        <w:rPr>
          <w:sz w:val="20"/>
        </w:rPr>
        <w:t xml:space="preserve">AI Model Documentation  |  + Ready  |  15%</w:t>
      </w:r>
    </w:p>
    <w:p>
      <w:r>
        <w:rPr>
          <w:sz w:val="20"/>
        </w:rPr>
        <w:t xml:space="preserve">AI Governance Framework  |  - Action Needed  |  15%</w:t>
      </w:r>
    </w:p>
    <w:p>
      <w:r>
        <w:rPr>
          <w:sz w:val="20"/>
        </w:rPr>
        <w:t xml:space="preserve">Bias Monitoring &amp; Testing  |  - Action Needed  |  10%</w:t>
      </w:r>
    </w:p>
    <w:p>
      <w:r>
        <w:t xml:space="preserve">Action items to reach 100%:</w:t>
      </w:r>
    </w:p>
    <w:p>
      <w:pPr>
        <w:pStyle w:val="ListParagraph"/>
        <w:numPr>
          <w:ilvl w:val="0"/>
          <w:numId w:val="1"/>
        </w:numPr>
      </w:pPr>
      <w:r>
        <w:t xml:space="preserve">[ ] **AI Risk Classification** (20%): Classify AI systems by risk level in .codepliantrc.json (aiRiskLevel)</w:t>
      </w:r>
    </w:p>
    <w:p>
      <w:pPr>
        <w:pStyle w:val="ListParagraph"/>
        <w:numPr>
          <w:ilvl w:val="0"/>
          <w:numId w:val="1"/>
        </w:numPr>
      </w:pPr>
      <w:r>
        <w:t xml:space="preserve">[ ] **Human Oversight (Art. 14)** (20%): Implement human review workflow for AI decisions; document override procedures</w:t>
      </w:r>
    </w:p>
    <w:p>
      <w:pPr>
        <w:pStyle w:val="ListParagraph"/>
        <w:numPr>
          <w:ilvl w:val="0"/>
          <w:numId w:val="1"/>
        </w:numPr>
      </w:pPr>
      <w:r>
        <w:t xml:space="preserve">[ ] **AI Governance Framework** (15%): Document AI usage purpose and establish governance committee</w:t>
      </w:r>
    </w:p>
    <w:p>
      <w:pPr>
        <w:pStyle w:val="ListParagraph"/>
        <w:numPr>
          <w:ilvl w:val="0"/>
          <w:numId w:val="1"/>
        </w:numPr>
      </w:pPr>
      <w:r>
        <w:t xml:space="preserve">[ ] **Bias Monitoring &amp; Testing** (10%): Implement bias testing and fairness metrics for AI outputs</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**[EU AI Act] AI Risk Classification** (20%): Classify AI systems by risk level in .codepliantrc.json (aiRiskLevel)</w:t>
      </w:r>
    </w:p>
    <w:p>
      <w:pPr>
        <w:pStyle w:val="ListParagraph"/>
        <w:numPr>
          <w:ilvl w:val="0"/>
          <w:numId w:val="2"/>
        </w:numPr>
      </w:pPr>
      <w:r>
        <w:t xml:space="preserve">**[EU AI Act] Human Oversight (Art. 14)** (20%): Implement human review workflow for AI decisions; document override procedures</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**[GDPR] Consent Management (Art. 6/7)** (15%): Deploy a Consent Management Platform; block trackers until consent is obtained</w:t>
      </w:r>
    </w:p>
    <w:p>
      <w:pPr>
        <w:pStyle w:val="ListParagraph"/>
        <w:numPr>
          <w:ilvl w:val="0"/>
          <w:numId w:val="2"/>
        </w:numPr>
      </w:pPr>
      <w:r>
        <w:t xml:space="preserve">**[EU AI Act] AI Governance Framework** (15%): Document AI usage purpose and establish governance committee</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r>
        <w:t xml:space="preserve">... and 8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