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**7**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**6**</w:t>
      </w:r>
    </w:p>
    <w:p>
      <w:r>
        <w:rPr>
          <w:sz w:val="20"/>
        </w:rPr>
        <w:t xml:space="preserve">Single Points of Failure  |  **6**</w:t>
      </w:r>
    </w:p>
    <w:p>
      <w:pPr>
        <w:ind w:left="720"/>
      </w:pPr>
      <w:r>
        <w:rPr>
          <w:i/>
          <w:color w:val="666666"/>
        </w:rPr>
        <w:t xml:space="preserve">**Action Required:** 6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Privacy Champion / Consent Manager  |  🟠 High  |  Yes  |  No  |  No</w:t>
      </w:r>
    </w:p>
    <w:p>
      <w:r>
        <w:rPr>
          <w:sz w:val="20"/>
        </w:rPr>
        <w:t xml:space="preserve">AI Governance Lead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Not assigned — compliance risk  </w:t>
      </w:r>
    </w:p>
    <w:p>
      <w:r>
        <w:t xml:space="preserve">Backup Assignment: [Assign primary and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33: Must notify supervisory authority within 72 hours of becoming aware of a breach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Privacy Champion / Consent Manager 🟠</w:t>
      </w:r>
    </w:p>
    <w:p>
      <w:r>
        <w:t xml:space="preserve">Description: Manages consent management platform (CMP), cookie compliance, and tracking consent workflows.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privacy champion]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CMP configuration and how to update cookie categories</w:t>
      </w:r>
    </w:p>
    <w:p>
      <w:pPr>
        <w:pStyle w:val="ListParagraph"/>
        <w:numPr>
          <w:ilvl w:val="0"/>
          <w:numId w:val="1"/>
        </w:numPr>
      </w:pPr>
      <w:r>
        <w:t xml:space="preserve">[ ] Train marketing team on consent requirements before launching new campaigns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adding new analytics or advertising services</w:t>
      </w:r>
    </w:p>
    <w:p>
      <w:pPr>
        <w:pStyle w:val="ListParagraph"/>
        <w:numPr>
          <w:ilvl w:val="0"/>
          <w:numId w:val="1"/>
        </w:numPr>
      </w:pPr>
      <w:r>
        <w:t xml:space="preserve">[ ] Share CMP admin access with at least two team members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ePrivacy Directive: Invalid consent can result in immediate enforcement action</w:t>
      </w:r>
    </w:p>
    <w:p>
      <w:pPr>
        <w:pStyle w:val="ListParagraph"/>
        <w:numPr>
          <w:ilvl w:val="0"/>
          <w:numId w:val="1"/>
        </w:numPr>
      </w:pPr>
      <w:r>
        <w:t xml:space="preserve">GDPR Art. 7: Consent must be demonstrable — records must be maintained</w:t>
      </w:r>
    </w:p>
    <w:p>
      <w:pPr>
        <w:pStyle w:val="Heading3"/>
      </w:pPr>
      <w:r>
        <w:t>AI Governance Lead 🟠</w:t>
      </w:r>
    </w:p>
    <w:p>
      <w:r>
        <w:t xml:space="preserve">Description: Oversees AI system classification, risk assessment, transparency obligations, and EU AI Act compliance.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AI governance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AI system inventory with risk classifications</w:t>
      </w:r>
    </w:p>
    <w:p>
      <w:pPr>
        <w:pStyle w:val="ListParagraph"/>
        <w:numPr>
          <w:ilvl w:val="0"/>
          <w:numId w:val="1"/>
        </w:numPr>
      </w:pPr>
      <w:r>
        <w:t xml:space="preserve">[ ] Train engineering team on AI transparency requirements (Art. 50)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evaluating new AI service integrations</w:t>
      </w:r>
    </w:p>
    <w:p>
      <w:pPr>
        <w:pStyle w:val="ListParagraph"/>
        <w:numPr>
          <w:ilvl w:val="0"/>
          <w:numId w:val="1"/>
        </w:numPr>
      </w:pPr>
      <w:r>
        <w:t xml:space="preserve">[ ] Share AI model documentation procedures with ML and product teams</w:t>
      </w:r>
    </w:p>
    <w:p>
      <w:pPr>
        <w:pStyle w:val="ListParagraph"/>
        <w:numPr>
          <w:ilvl w:val="0"/>
          <w:numId w:val="1"/>
        </w:numPr>
      </w:pPr>
      <w:r>
        <w:t xml:space="preserve">[ ] Conduct workshops on AI bias detection and fairness testing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EU AI Act: High-risk AI systems require ongoing conformity assessment</w:t>
      </w:r>
    </w:p>
    <w:p>
      <w:pPr>
        <w:pStyle w:val="ListParagraph"/>
        <w:numPr>
          <w:ilvl w:val="0"/>
          <w:numId w:val="1"/>
        </w:numPr>
      </w:pPr>
      <w:r>
        <w:t xml:space="preserve">Colorado AI Act: Deployers must complete impact assessments</w:t>
      </w:r>
    </w:p>
    <w:p>
      <w:pPr>
        <w:pStyle w:val="ListParagraph"/>
        <w:numPr>
          <w:ilvl w:val="0"/>
          <w:numId w:val="1"/>
        </w:numPr>
      </w:pPr>
      <w:r>
        <w:t xml:space="preserve">AI governance decisions affect product roadmap — delays are costly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13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AI Compliance  |  1  |  2  |  Cross-train product and engineering leads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