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@documenso/root</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EU AI Act — Prohibited Practices (Art. 5)</w:t>
      </w:r>
    </w:p>
    <w:p>
      <w:r>
        <w:rPr>
          <w:sz w:val="20"/>
        </w:rPr>
        <w:t xml:space="preserve">**Enforcement Date**  |  2 February 2025</w:t>
      </w:r>
    </w:p>
    <w:p>
      <w:r>
        <w:rPr>
          <w:sz w:val="20"/>
        </w:rPr>
        <w:t xml:space="preserve">**Status**  |  In effect</w:t>
      </w:r>
    </w:p>
    <w:p>
      <w:r>
        <w:t xml:space="preserve">Impact: AI systems that use subliminal techniques, exploit vulnerabilities, perform social scoring, or use real-time remote biometric identification (with narrow exceptions) are banned.</w:t>
      </w:r>
    </w:p>
    <w:p>
      <w:r>
        <w:t xml:space="preserve">Action Required: Audit all AI features against the prohibited practices list. Remove or redesign any AI functionality that falls within the prohibited categories.</w:t>
      </w:r>
    </w:p>
    <w:p>
      <w:pPr>
        <w:pStyle w:val="Heading3"/>
      </w:pPr>
      <w:r>
        <w:t>EU AI Act — AI Literacy Obligation (Art. 4)</w:t>
      </w:r>
    </w:p>
    <w:p>
      <w:r>
        <w:rPr>
          <w:sz w:val="20"/>
        </w:rPr>
        <w:t xml:space="preserve">**Enforcement Date**  |  2 February 2025</w:t>
      </w:r>
    </w:p>
    <w:p>
      <w:r>
        <w:rPr>
          <w:sz w:val="20"/>
        </w:rPr>
        <w:t xml:space="preserve">**Status**  |  In effect</w:t>
      </w:r>
    </w:p>
    <w:p>
      <w:r>
        <w:t xml:space="preserve">Impact: Providers and deployers must ensure staff involved in AI operation and use have sufficient AI literacy, considering their technical knowledge, experience, and context of use.</w:t>
      </w:r>
    </w:p>
    <w:p>
      <w:r>
        <w:t xml:space="preserve">Action Required: Implement AI literacy training for all personnel who develop, deploy, or oversee AI systems. Document training records.</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EU AI Act — GPAI Model Obligations (Art. 51-56)</w:t>
      </w:r>
    </w:p>
    <w:p>
      <w:r>
        <w:rPr>
          <w:sz w:val="20"/>
        </w:rPr>
        <w:t xml:space="preserve">**Enforcement Date**  |  2 August 2025</w:t>
      </w:r>
    </w:p>
    <w:p>
      <w:r>
        <w:rPr>
          <w:sz w:val="20"/>
        </w:rPr>
        <w:t xml:space="preserve">**Status**  |  Upcoming</w:t>
      </w:r>
    </w:p>
    <w:p>
      <w:r>
        <w:t xml:space="preserve">Impact: General-purpose AI model providers must provide technical documentation, comply with EU copyright law, and publish a training content summary. Systemic risk models face additional obligations.</w:t>
      </w:r>
    </w:p>
    <w:p>
      <w:r>
        <w:t xml:space="preserve">Action Required: If using or providing GPAI models, review provider compliance. Request technical documentation and copyright compliance evidence from AI providers.</w:t>
      </w:r>
    </w:p>
    <w:p>
      <w:pPr>
        <w:pStyle w:val="Heading3"/>
      </w:pPr>
      <w:r>
        <w:t>EU AI Act — Transparency Obligations (Art. 50)</w:t>
      </w:r>
    </w:p>
    <w:p>
      <w:r>
        <w:rPr>
          <w:sz w:val="20"/>
        </w:rPr>
        <w:t xml:space="preserve">**Enforcement Date**  |  2 August 2026</w:t>
      </w:r>
    </w:p>
    <w:p>
      <w:r>
        <w:rPr>
          <w:sz w:val="20"/>
        </w:rPr>
        <w:t xml:space="preserve">**Status**  |  Upcoming</w:t>
      </w:r>
    </w:p>
    <w:p>
      <w:r>
        <w:t xml:space="preserve">Impact: Deployers must inform users when they interact with AI systems. AI-generated content (text, images, audio, video, deepfakes) must be labelled as such in a machine-readable format.</w:t>
      </w:r>
    </w:p>
    <w:p>
      <w:r>
        <w:t xml:space="preserve">Action Required: Implement AI interaction disclosure in UI. Add machine-readable labels (C2PA or equivalent) to AI-generated content. Update privacy notices to cover AI usage.</w:t>
      </w:r>
    </w:p>
    <w:p>
      <w:pPr>
        <w:pStyle w:val="Heading3"/>
      </w:pPr>
      <w:r>
        <w:t>EU AI Act — High-Risk System Requirements (Art. 6-49)</w:t>
      </w:r>
    </w:p>
    <w:p>
      <w:r>
        <w:rPr>
          <w:sz w:val="20"/>
        </w:rPr>
        <w:t xml:space="preserve">**Enforcement Date**  |  2 August 2027</w:t>
      </w:r>
    </w:p>
    <w:p>
      <w:r>
        <w:rPr>
          <w:sz w:val="20"/>
        </w:rPr>
        <w:t xml:space="preserve">**Status**  |  Upcoming</w:t>
      </w:r>
    </w:p>
    <w:p>
      <w:r>
        <w:t xml:space="preserve">Impact: High-risk AI systems must undergo conformity assessments, maintain risk management systems, meet data governance standards, implement human oversight, and register in the EU database.</w:t>
      </w:r>
    </w:p>
    <w:p>
      <w:r>
        <w:t xml:space="preserve">Action Required: Classify all AI systems by risk level. For high-risk systems: begin conformity assessment preparation, establish risk management framework, implement logging and monitoring.</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3"/>
      </w:pPr>
      <w:r>
        <w:t>Colorado AI Act (SB 24-205)</w:t>
      </w:r>
    </w:p>
    <w:p>
      <w:r>
        <w:rPr>
          <w:sz w:val="20"/>
        </w:rPr>
        <w:t xml:space="preserve">**Enforcement Date**  |  1 February 2026</w:t>
      </w:r>
    </w:p>
    <w:p>
      <w:r>
        <w:rPr>
          <w:sz w:val="20"/>
        </w:rPr>
        <w:t xml:space="preserve">**Status**  |  Upcoming</w:t>
      </w:r>
    </w:p>
    <w:p>
      <w:r>
        <w:t xml:space="preserve">Impact: First comprehensive US state AI law. Applies to developers and deployers of high-risk AI systems that make consequential decisions in employment, finance, housing, insurance, education, and other areas.</w:t>
      </w:r>
    </w:p>
    <w:p>
      <w:r>
        <w:t xml:space="preserve">Action Required: Classify AI systems for consequential decision-making. Implement algorithmic impact assessments. Provide AI-related disclosures to consumers. Establish human oversight for high-risk AI decisions.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UK AI Regulation — Sector-led Framework</w:t>
      </w:r>
    </w:p>
    <w:p>
      <w:r>
        <w:rPr>
          <w:sz w:val="20"/>
        </w:rPr>
        <w:t xml:space="preserve">**Enforcement Date**  |  Ongoing — no single enforcement date</w:t>
      </w:r>
    </w:p>
    <w:p>
      <w:r>
        <w:rPr>
          <w:sz w:val="20"/>
        </w:rPr>
        <w:t xml:space="preserve">**Status**  |  In development</w:t>
      </w:r>
    </w:p>
    <w:p>
      <w:r>
        <w:t xml:space="preserve">Impact: The UK has opted for a sector-led, principles-based approach rather than a single AI law. Existing regulators (ICO, FCA, CMA, Ofcom) are developing AI guidance for their sectors. The AI Safety Institute conducts frontier model evaluations.</w:t>
      </w:r>
    </w:p>
    <w:p>
      <w:r>
        <w:t xml:space="preserve">Action Required: Monitor guidance from sector regulators relevant to your industry. Implement the five cross-sector AI principles: safety, fairness, transparency, accountability, contestability. Consider voluntary compliance with the UK AI Code of Practice.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3"/>
      </w:pPr>
      <w:r>
        <w:t>EU-US Data Privacy Framework (DPF) — Adequacy Review</w:t>
      </w:r>
    </w:p>
    <w:p>
      <w:r>
        <w:rPr>
          <w:sz w:val="20"/>
        </w:rPr>
        <w:t xml:space="preserve">**Enforcement Date**  |  First review expected by July 2025</w:t>
      </w:r>
    </w:p>
    <w:p>
      <w:r>
        <w:rPr>
          <w:sz w:val="20"/>
        </w:rPr>
        <w:t xml:space="preserve">**Status**  |  Under review</w:t>
      </w:r>
    </w:p>
    <w:p>
      <w:r>
        <w:t xml:space="preserve">Impact: You use 3 US-based service(s). The DPF adequacy decision enables EU-US data transfers without SCCs, but is subject to periodic review. A CJEU challenge (similar to Schrems I/II) remains possible.</w:t>
      </w:r>
    </w:p>
    <w:p>
      <w:r>
        <w:t xml:space="preserve">Action Required: Verify each US-based provider's DPF certification at dataprivacyframework.gov. Maintain fallback SCCs in DPAs in case the DPF is invalidated. Document transfer impact assessments.</w:t>
      </w:r>
    </w:p>
    <w:p>
      <w:pPr>
        <w:pStyle w:val="Heading2"/>
      </w:pPr>
      <w:r>
        <w:t>Action Summary</w:t>
      </w:r>
    </w:p>
    <w:p>
      <w:r>
        <w:rPr>
          <w:sz w:val="20"/>
        </w:rPr>
        <w:t xml:space="preserve">#  |  Regulation  |  Date  |  Status  |  Priority</w:t>
      </w:r>
    </w:p>
    <w:p>
      <w:r>
        <w:rPr>
          <w:sz w:val="20"/>
        </w:rPr>
        <w:t xml:space="preserve">1  |  EU AI Act — Prohibited Practices (Art. 5)  |  2 February 2025  |  In effect  |  Review now</w:t>
      </w:r>
    </w:p>
    <w:p>
      <w:r>
        <w:rPr>
          <w:sz w:val="20"/>
        </w:rPr>
        <w:t xml:space="preserve">2  |  EU AI Act — AI Literacy Obligation (Art. 4)  |  2 February 2025  |  In effect  |  Review now</w:t>
      </w:r>
    </w:p>
    <w:p>
      <w:r>
        <w:rPr>
          <w:sz w:val="20"/>
        </w:rPr>
        <w:t xml:space="preserve">3  |  EU AI Act — GPAI Model Obligations (Art. 51-56)  |  2 August 2025  |  Upcoming  |  Plan ahead</w:t>
      </w:r>
    </w:p>
    <w:p>
      <w:r>
        <w:rPr>
          <w:sz w:val="20"/>
        </w:rPr>
        <w:t xml:space="preserve">4  |  EU AI Act — Transparency Obligations (Art. 50)  |  2 August 2026  |  Upcoming  |  Plan ahead</w:t>
      </w:r>
    </w:p>
    <w:p>
      <w:r>
        <w:rPr>
          <w:sz w:val="20"/>
        </w:rPr>
        <w:t xml:space="preserve">5  |  EU AI Act — High-Risk System Requirements (Art. 6-49)  |  2 August 2027  |  Upcoming  |  Plan ahead</w:t>
      </w:r>
    </w:p>
    <w:p>
      <w:r>
        <w:rPr>
          <w:sz w:val="20"/>
        </w:rPr>
        <w:t xml:space="preserve">6  |  California — CPRA Enforcement (Regulations finalized)  |  29 March 2024  |  In effect  |  Review now</w:t>
      </w:r>
    </w:p>
    <w:p>
      <w:r>
        <w:rPr>
          <w:sz w:val="20"/>
        </w:rPr>
        <w:t xml:space="preserve">7  |  Texas Data Privacy and Security Act (TDPSA)  |  1 July 2024  |  In effect  |  Review now</w:t>
      </w:r>
    </w:p>
    <w:p>
      <w:r>
        <w:rPr>
          <w:sz w:val="20"/>
        </w:rPr>
        <w:t xml:space="preserve">8  |  Florida Digital Bill of Rights (FDBR)  |  1 July 2024  |  In effect  |  Review now</w:t>
      </w:r>
    </w:p>
    <w:p>
      <w:r>
        <w:rPr>
          <w:sz w:val="20"/>
        </w:rPr>
        <w:t xml:space="preserve">9  |  Oregon Consumer Privacy Act (OCPA)  |  1 July 2024  |  In effect  |  Review now</w:t>
      </w:r>
    </w:p>
    <w:p>
      <w:r>
        <w:rPr>
          <w:sz w:val="20"/>
        </w:rPr>
        <w:t xml:space="preserve">10  |  New Jersey Data Privacy Act (NJDPA)  |  15 January 2025  |  In effect  |  Review now</w:t>
      </w:r>
    </w:p>
    <w:p>
      <w:r>
        <w:rPr>
          <w:sz w:val="20"/>
        </w:rPr>
        <w:t xml:space="preserve">11  |  Tennessee Information Protection Act (TIPA)  |  1 July 2025  |  Upcoming  |  Plan ahead</w:t>
      </w:r>
    </w:p>
    <w:p>
      <w:r>
        <w:rPr>
          <w:sz w:val="20"/>
        </w:rPr>
        <w:t xml:space="preserve">12  |  Minnesota Consumer Data Privacy Act  |  31 July 2025  |  Upcoming  |  Plan ahead</w:t>
      </w:r>
    </w:p>
    <w:p>
      <w:r>
        <w:rPr>
          <w:sz w:val="20"/>
        </w:rPr>
        <w:t xml:space="preserve">13  |  Maryland Online Data Privacy Act (MODPA)  |  1 October 2025  |  Upcoming  |  Plan ahead</w:t>
      </w:r>
    </w:p>
    <w:p>
      <w:r>
        <w:rPr>
          <w:sz w:val="20"/>
        </w:rPr>
        <w:t xml:space="preserve">14  |  Colorado AI Act (SB 24-205)  |  1 February 2026  |  Upcoming  |  Plan ahead</w:t>
      </w:r>
    </w:p>
    <w:p>
      <w:r>
        <w:rPr>
          <w:sz w:val="20"/>
        </w:rPr>
        <w:t xml:space="preserve">15  |  UK Data (Use and Access) Act (DUAA)  |  Royal Assent: November 2024; enforcement phased 2025-2026  |  Phased enforcement  |  Monitor</w:t>
      </w:r>
    </w:p>
    <w:p>
      <w:r>
        <w:rPr>
          <w:sz w:val="20"/>
        </w:rPr>
        <w:t xml:space="preserve">16  |  UK AI Regulation — Sector-led Framework  |  Ongoing — no single enforcement date  |  In development  |  Monitor</w:t>
      </w:r>
    </w:p>
    <w:p>
      <w:r>
        <w:rPr>
          <w:sz w:val="20"/>
        </w:rPr>
        <w:t xml:space="preserve">17  |  EU ePrivacy Regulation (proposed replacement for Directive 2002/58/EC)  |  No confirmed date — legislative process stalled  |  Stalled  |  Monitor</w:t>
      </w:r>
    </w:p>
    <w:p>
      <w:r>
        <w:rPr>
          <w:sz w:val="20"/>
        </w:rPr>
        <w:t xml:space="preserve">18  |  EU-US Data Privacy Framework (DPF) — Adequacy Review  |  First review expected by July 2025  |  Under review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