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6</w:t>
      </w:r>
    </w:p>
    <w:p>
      <w:pPr>
        <w:pStyle w:val="Heading2"/>
      </w:pPr>
      <w:r>
        <w:t>2. Processing Activities Summary</w:t>
      </w:r>
    </w:p>
    <w:p>
      <w:r>
        <w:rPr>
          <w:sz w:val="20"/>
        </w:rPr>
        <w:t xml:space="preserve">Metric  |  Count</w:t>
      </w:r>
    </w:p>
    <w:p>
      <w:r>
        <w:rPr>
          <w:sz w:val="20"/>
        </w:rPr>
        <w:t xml:space="preserve">Total processing activities  |  6</w:t>
      </w:r>
    </w:p>
    <w:p>
      <w:r>
        <w:rPr>
          <w:sz w:val="20"/>
        </w:rPr>
        <w:t xml:space="preserve">High risk activities  |  2</w:t>
      </w:r>
    </w:p>
    <w:p>
      <w:r>
        <w:rPr>
          <w:sz w:val="20"/>
        </w:rPr>
        <w:t xml:space="preserve">Medium risk activities  |  3</w:t>
      </w:r>
    </w:p>
    <w:p>
      <w:r>
        <w:rPr>
          <w:sz w:val="20"/>
        </w:rPr>
        <w:t xml:space="preserve">Low risk activities  |  1</w:t>
      </w:r>
    </w:p>
    <w:p>
      <w:r>
        <w:rPr>
          <w:sz w:val="20"/>
        </w:rPr>
        <w:t xml:space="preserve">Activities with international transfers  |  5</w:t>
      </w:r>
    </w:p>
    <w:p>
      <w:r>
        <w:rPr>
          <w:sz w:val="20"/>
        </w:rPr>
        <w:t xml:space="preserve">Activities with automated decision-making  |  1</w:t>
      </w:r>
    </w:p>
    <w:p>
      <w:pPr>
        <w:ind w:left="720"/>
      </w:pPr>
      <w:r>
        <w:rPr>
          <w:i/>
          <w:color w:val="666666"/>
        </w:rPr>
        <w:t xml:space="preserve">**DPIA Required:** 2 high-risk processing activities have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@simplewebauthn/server, next-auth, passport-microsoft</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Website &amp; Product Analytics</w:t>
      </w:r>
    </w:p>
    <w:p>
      <w:r>
        <w:rPr>
          <w:sz w:val="20"/>
        </w:rPr>
        <w:t xml:space="preserve">Field  |  Details</w:t>
      </w:r>
    </w:p>
    <w:p>
      <w:r>
        <w:rPr>
          <w:sz w:val="20"/>
        </w:rPr>
        <w:t xml:space="preserve">**Activity ID**  |  PA-002</w:t>
      </w:r>
    </w:p>
    <w:p>
      <w:r>
        <w:rPr>
          <w:sz w:val="20"/>
        </w:rPr>
        <w:t xml:space="preserve">**Processing Activity**  |  Website &amp; Product Analytics</w:t>
      </w:r>
    </w:p>
    <w:p>
      <w:r>
        <w:rPr>
          <w:sz w:val="20"/>
        </w:rPr>
        <w:t xml:space="preserve">**Purpose of Processing**  |  Measure product usage, analyze user behavior patterns, improve user experience, track feature adoption</w:t>
      </w:r>
    </w:p>
    <w:p>
      <w:r>
        <w:rPr>
          <w:sz w:val="20"/>
        </w:rPr>
        <w:t xml:space="preserve">**Lawful Basis (Art. 6)**  |  Consent (Art. 6(1)(a)) or Legitimate interest (Art. 6(1)(f))</w:t>
      </w:r>
    </w:p>
    <w:p>
      <w:r>
        <w:rPr>
          <w:sz w:val="20"/>
        </w:rPr>
        <w:t xml:space="preserve">**Categories of Data Subjects**  |  Website Visitors, Registered Users</w:t>
      </w:r>
    </w:p>
    <w:p>
      <w:r>
        <w:rPr>
          <w:sz w:val="20"/>
        </w:rPr>
        <w:t xml:space="preserve">**Categories of Personal Data**  |  Page views, Click events, Session duration, Device type, Browser, IP address, Referrer URL, Geographic region</w:t>
      </w:r>
    </w:p>
    <w:p>
      <w:r>
        <w:rPr>
          <w:sz w:val="20"/>
        </w:rPr>
        <w:t xml:space="preserve">**Recipients / Processors**  |  posthog</w:t>
      </w:r>
    </w:p>
    <w:p>
      <w:r>
        <w:rPr>
          <w:sz w:val="20"/>
        </w:rPr>
        <w:t xml:space="preserve">**Retention Period**  |  26 months (analytics data), 14 months (cookie identifiers)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PA-003: Payment Processing &amp; Billing</w:t>
      </w:r>
    </w:p>
    <w:p>
      <w:r>
        <w:rPr>
          <w:sz w:val="20"/>
        </w:rPr>
        <w:t xml:space="preserve">Field  |  Details</w:t>
      </w:r>
    </w:p>
    <w:p>
      <w:r>
        <w:rPr>
          <w:sz w:val="20"/>
        </w:rPr>
        <w:t xml:space="preserve">**Activity ID**  |  PA-003</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PA-004: Email Communications</w:t>
      </w:r>
    </w:p>
    <w:p>
      <w:r>
        <w:rPr>
          <w:sz w:val="20"/>
        </w:rPr>
        <w:t xml:space="preserve">Field  |  Details</w:t>
      </w:r>
    </w:p>
    <w:p>
      <w:r>
        <w:rPr>
          <w:sz w:val="20"/>
        </w:rPr>
        <w:t xml:space="preserve">**Activity ID**  |  PA-004</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@aws-sdk/client-ses, nodemailer, resend</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PA-005: AI-Powered Features &amp; Processing</w:t>
      </w:r>
    </w:p>
    <w:p>
      <w:r>
        <w:rPr>
          <w:sz w:val="20"/>
        </w:rPr>
        <w:t xml:space="preserve">Field  |  Details</w:t>
      </w:r>
    </w:p>
    <w:p>
      <w:r>
        <w:rPr>
          <w:sz w:val="20"/>
        </w:rPr>
        <w:t xml:space="preserve">**Activity ID**  |  PA-005</w:t>
      </w:r>
    </w:p>
    <w:p>
      <w:r>
        <w:rPr>
          <w:sz w:val="20"/>
        </w:rPr>
        <w:t xml:space="preserve">**Processing Activity**  |  AI-Powered Features &amp; Processing</w:t>
      </w:r>
    </w:p>
    <w:p>
      <w:r>
        <w:rPr>
          <w:sz w:val="20"/>
        </w:rPr>
        <w:t xml:space="preserve">**Purpose of Processing**  |  Provide AI-powered features including content generation, analysis, recommendations, and automated assistance</w:t>
      </w:r>
    </w:p>
    <w:p>
      <w:r>
        <w:rPr>
          <w:sz w:val="20"/>
        </w:rPr>
        <w:t xml:space="preserve">**Lawful Basis (Art. 6)**  |  Consent (Art. 6(1)(a)) or Contract performance (Art. 6(1)(b))</w:t>
      </w:r>
    </w:p>
    <w:p>
      <w:r>
        <w:rPr>
          <w:sz w:val="20"/>
        </w:rPr>
        <w:t xml:space="preserve">**Categories of Data Subjects**  |  Registered Users</w:t>
      </w:r>
    </w:p>
    <w:p>
      <w:r>
        <w:rPr>
          <w:sz w:val="20"/>
        </w:rPr>
        <w:t xml:space="preserve">**Categories of Personal Data**  |  User prompts, Conversation history, Generated content, Feature interaction data, Feedback signals</w:t>
      </w:r>
    </w:p>
    <w:p>
      <w:r>
        <w:rPr>
          <w:sz w:val="20"/>
        </w:rPr>
        <w:t xml:space="preserve">**Recipients / Processors**  |  @ai-sdk/google-vertex, @vercel/ai</w:t>
      </w:r>
    </w:p>
    <w:p>
      <w:r>
        <w:rPr>
          <w:sz w:val="20"/>
        </w:rPr>
        <w:t xml:space="preserve">**Retention Period**  |  30 days for prompts/responses, configurable per service</w:t>
      </w:r>
    </w:p>
    <w:p>
      <w:r>
        <w:rPr>
          <w:sz w:val="20"/>
        </w:rPr>
        <w:t xml:space="preserve">**International Transfers**  |  Yes — outside EEA</w:t>
      </w:r>
    </w:p>
    <w:p>
      <w:r>
        <w:rPr>
          <w:sz w:val="20"/>
        </w:rPr>
        <w:t xml:space="preserve">**Transfer Safeguards**  |  Standard Contractual Clauses, Data Processing Addendum with AI provider</w:t>
      </w:r>
    </w:p>
    <w:p>
      <w:r>
        <w:rPr>
          <w:sz w:val="20"/>
        </w:rPr>
        <w:t xml:space="preserve">**Automated Decision-Making**  |  Yes — see DPIA</w:t>
      </w:r>
    </w:p>
    <w:p>
      <w:r>
        <w:rPr>
          <w:sz w:val="20"/>
        </w:rPr>
        <w:t xml:space="preserve">**Risk Level**  |  **High**</w:t>
      </w:r>
    </w:p>
    <w:p>
      <w:pPr>
        <w:pStyle w:val="Heading3"/>
      </w:pPr>
      <w:r>
        <w:t>PA-006: Primary Data Storage</w:t>
      </w:r>
    </w:p>
    <w:p>
      <w:r>
        <w:rPr>
          <w:sz w:val="20"/>
        </w:rPr>
        <w:t xml:space="preserve">Field  |  Details</w:t>
      </w:r>
    </w:p>
    <w:p>
      <w:r>
        <w:rPr>
          <w:sz w:val="20"/>
        </w:rPr>
        <w:t xml:space="preserve">**Activity ID**  |  PA-006</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prisma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Website &amp; Product Analytics  |  Consent  |  Page views, Click events, Session duration ...  |  Medium</w:t>
      </w:r>
    </w:p>
    <w:p>
      <w:r>
        <w:rPr>
          <w:sz w:val="20"/>
        </w:rPr>
        <w:t xml:space="preserve">PA-003  |  Payment Processing &amp; Billing  |  Contract performance  |  Payment card tokens, Billing address, Email ...  |  High</w:t>
      </w:r>
    </w:p>
    <w:p>
      <w:r>
        <w:rPr>
          <w:sz w:val="20"/>
        </w:rPr>
        <w:t xml:space="preserve">PA-004  |  Email Communications  |  Contract performance  |  Email address, Name, Email content ...  |  Low</w:t>
      </w:r>
    </w:p>
    <w:p>
      <w:r>
        <w:rPr>
          <w:sz w:val="20"/>
        </w:rPr>
        <w:t xml:space="preserve">PA-005  |  AI-Powered Features &amp; Processing  |  Consent  |  User prompts, Conversation history, Generated content ...  |  High</w:t>
      </w:r>
    </w:p>
    <w:p>
      <w:r>
        <w:rPr>
          <w:sz w:val="20"/>
        </w:rPr>
        <w:t xml:space="preserve">PA-006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PA-003, PA-004, PA-006</w:t>
      </w:r>
    </w:p>
    <w:p>
      <w:r>
        <w:rPr>
          <w:sz w:val="20"/>
        </w:rPr>
        <w:t xml:space="preserve">Consent (Art. 6(1)(a)) or Legitimate interest (Art. 6(1)(f))  |  PA-002</w:t>
      </w:r>
    </w:p>
    <w:p>
      <w:r>
        <w:rPr>
          <w:sz w:val="20"/>
        </w:rPr>
        <w:t xml:space="preserve">Consent (Art. 6(1)(a)) or Contract performance (Art. 6(1)(b))  |  PA-005</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@simplewebauthn/server, next-auth, passport-microsoft  |  Standard Contractual Clauses (SCCs)</w:t>
      </w:r>
    </w:p>
    <w:p>
      <w:r>
        <w:rPr>
          <w:sz w:val="20"/>
        </w:rPr>
        <w:t xml:space="preserve">PA-002: Website &amp; Product Analytics  |  posthog  |  Standard Contractual Clauses (SCCs)</w:t>
      </w:r>
    </w:p>
    <w:p>
      <w:r>
        <w:rPr>
          <w:sz w:val="20"/>
        </w:rPr>
        <w:t xml:space="preserve">PA-003: Payment Processing &amp; Billing  |  stripe  |  PCI DSS compliance, Standard Contractual Clauses</w:t>
      </w:r>
    </w:p>
    <w:p>
      <w:r>
        <w:rPr>
          <w:sz w:val="20"/>
        </w:rPr>
        <w:t xml:space="preserve">PA-004: Email Communications  |  @aws-sdk/client-ses, nodemailer, resend  |  Standard Contractual Clauses (SCCs)</w:t>
      </w:r>
    </w:p>
    <w:p>
      <w:r>
        <w:rPr>
          <w:sz w:val="20"/>
        </w:rPr>
        <w:t xml:space="preserve">PA-005: AI-Powered Features &amp; Processing  |  @ai-sdk/google-vertex, @vercel/ai  |  Standard Contractual Clauses, Data Processing Addendum with AI provider</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