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AI Service  |  Prompts, generated responses, usage metadata  |  90 days  |  Consent / Contractual necessity (Art. 6(1)(a)/(b)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Analytics  |  Page views, click events, session recordings, device information  |  2 years  |  Consent (Art. 6(1)(a)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AI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Prompts, generated responses, usage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AI interaction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/ Contractual necessity (Art. 6(1)(a)/(b) GDPR) — Retained to provide AI-powered features. Interaction logs are purged after 90 days.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AI interaction logs are automatically purged after the retention period. You may request early deletion by contacting us.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Analytics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Page views, click events, session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**Retention period:** Analytics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to improve our service. You may withdraw consent at any time.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Analytics data is anonymized or deleted upon consent withdrawal. Aggregated, non-identifiable statistics may be retained indefinitely.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