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@documenso/root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**Paying Customers**  |  Payment method, billing address, transaction history  |  Contract performance (Art. 6(1)(b))  |  As required by tax law</w:t>
      </w:r>
    </w:p>
    <w:p>
      <w:r>
        <w:rPr>
          <w:sz w:val="20"/>
        </w:rPr>
        <w:t xml:space="preserve">**Website Visitors**  |  IP address, browser info, cookies, page views  |  Legitimate interest / Consent (Art. 6(1)(f)/(a))  |  26 months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2026-03-16</w:t>
      </w:r>
    </w:p>
    <w:p>
      <w:pPr>
        <w:pStyle w:val="ListParagraph"/>
        <w:numPr>
          <w:ilvl w:val="0"/>
          <w:numId w:val="1"/>
        </w:numPr>
      </w:pPr>
      <w:r>
        <w:t xml:space="preserve">Next review: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