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Lawful Basis Assessment</w:t>
      </w:r>
    </w:p>
    <w:p>
      <w:pPr>
        <w:ind w:left="720"/>
      </w:pPr>
      <w:r>
        <w:rPr>
          <w:i/>
          <w:color w:val="666666"/>
        </w:rPr>
        <w:t xml:space="preserve">**[Your Company Name]** — GDPR Article 6 Lawful Basis Assessment</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**Assessment Date**  |  2026-03-16</w:t>
      </w:r>
    </w:p>
    <w:p>
      <w:pPr>
        <w:pStyle w:val="Heading2"/>
      </w:pPr>
      <w:r>
        <w:t>2. Lawful Basis Summary</w:t>
      </w:r>
    </w:p>
    <w:p>
      <w:r>
        <w:rPr>
          <w:sz w:val="20"/>
        </w:rPr>
        <w:t xml:space="preserve">Processing Activity  |  Lawful Basis  |  GDPR Article  |  Requires LIA</w:t>
      </w:r>
    </w:p>
    <w:p>
      <w:r>
        <w:rPr>
          <w:sz w:val="20"/>
        </w:rPr>
        <w:t xml:space="preserve">AI Processing  |  Consent / Contract performance  |  Art. 6(1)(a) / Art. 6(1)(b)  |  No</w:t>
      </w:r>
    </w:p>
    <w:p>
      <w:r>
        <w:rPr>
          <w:sz w:val="20"/>
        </w:rPr>
        <w:t xml:space="preserve">Email Communications  |  Legitimate interest / Consent  |  Art. 6(1)(f) / Art. 6(1)(a)  |  Yes</w:t>
      </w:r>
    </w:p>
    <w:p>
      <w:r>
        <w:rPr>
          <w:sz w:val="20"/>
        </w:rPr>
        <w:t xml:space="preserve">other  |  Legitimate interest  |  Art. 6(1)(f)  |  Yes</w:t>
      </w:r>
    </w:p>
    <w:p>
      <w:r>
        <w:rPr>
          <w:sz w:val="20"/>
        </w:rPr>
        <w:t xml:space="preserve">User Authentication  |  Contract performance  |  Art. 6(1)(b)  |  No</w:t>
      </w:r>
    </w:p>
    <w:p>
      <w:r>
        <w:rPr>
          <w:sz w:val="20"/>
        </w:rPr>
        <w:t xml:space="preserve">Usage Analytics  |  Consent / Legitimate interest  |  Art. 6(1)(a) / Art. 6(1)(f)  |  Yes</w:t>
      </w:r>
    </w:p>
    <w:p>
      <w:r>
        <w:rPr>
          <w:sz w:val="20"/>
        </w:rPr>
        <w:t xml:space="preserve">Data Storage  |  Contract performance  |  Art. 6(1)(b)  |  No</w:t>
      </w:r>
    </w:p>
    <w:p>
      <w:r>
        <w:rPr>
          <w:sz w:val="20"/>
        </w:rPr>
        <w:t xml:space="preserve">Payment Processing  |  Contract performance / Legal obligation  |  Art. 6(1)(b) / Art. 6(1)(c)  |  No</w:t>
      </w:r>
    </w:p>
    <w:p>
      <w:pPr>
        <w:pStyle w:val="Heading2"/>
      </w:pPr>
      <w:r>
        <w:t>3. Detailed Assessments</w:t>
      </w:r>
    </w:p>
    <w:p>
      <w:pPr>
        <w:pStyle w:val="Heading3"/>
      </w:pPr>
      <w:r>
        <w:t>3.1. AI Processing</w:t>
      </w:r>
    </w:p>
    <w:p>
      <w:r>
        <w:t xml:space="preserve">Services: @ai-sdk/google-vertex, @vercel/ai</w:t>
      </w:r>
    </w:p>
    <w:p>
      <w:r>
        <w:t xml:space="preserve">Data processed: user prompts, conversation history, generated content</w:t>
      </w:r>
    </w:p>
    <w:p>
      <w:r>
        <w:t xml:space="preserve">Lawful basis: Consent / Contract performance (Art. 6(1)(a) / Art. 6(1)(b))</w:t>
      </w:r>
    </w:p>
    <w:p>
      <w:r>
        <w:t xml:space="preserve">Reasoning:</w:t>
      </w:r>
    </w:p>
    <w:p>
      <w:r>
        <w:t xml:space="preserve">AI processing depends on whether it is integral to the service. If AI features are core to the product the user signed up for, contract performance applies. If AI features are optional or supplementary, consent should be obtained. Special attention is required under GDPR Art. 22 regarding automated decision-making with legal or similarly significant effects.</w:t>
      </w:r>
    </w:p>
    <w:p>
      <w:pPr>
        <w:pStyle w:val="Heading3"/>
      </w:pPr>
      <w:r>
        <w:t>3.2. Email Communications</w:t>
      </w:r>
    </w:p>
    <w:p>
      <w:r>
        <w:t xml:space="preserve">Services: @aws-sdk/client-ses, nodemailer, resend</w:t>
      </w:r>
    </w:p>
    <w:p>
      <w:r>
        <w:t xml:space="preserve">Data processed: email addresses, email content, uploaded files, file metadata</w:t>
      </w:r>
    </w:p>
    <w:p>
      <w:r>
        <w:t xml:space="preserve">Lawful basis: Legitimate interest / Consent (Art. 6(1)(f) / Art. 6(1)(a))</w:t>
      </w:r>
    </w:p>
    <w:p>
      <w:r>
        <w:t xml:space="preserve">Reasoning:</w:t>
      </w:r>
    </w:p>
    <w:p>
      <w:r>
        <w:t xml:space="preserve">Transactional emails (order confirmations, password resets, security alerts) are processed under legitimate interest — the data subject reasonably expects these communications as part of the service. Marketing emails require explicit consent under both GDPR and the ePrivacy Directive.</w:t>
      </w:r>
    </w:p>
    <w:p>
      <w:pPr>
        <w:ind w:left="720"/>
      </w:pPr>
      <w:r>
        <w:rPr>
          <w:i/>
          <w:color w:val="666666"/>
        </w:rPr>
        <w:t xml:space="preserve">A Legitimate Interest Assessment (LIA) is recommended for this processing activity. See Section 4 below.</w:t>
      </w:r>
    </w:p>
    <w:p>
      <w:pPr>
        <w:pStyle w:val="Heading3"/>
      </w:pPr>
      <w:r>
        <w:t>3.3. other</w:t>
      </w:r>
    </w:p>
    <w:p>
      <w:r>
        <w:t xml:space="preserve">Services: @google-cloud/kms, googleapis</w:t>
      </w:r>
    </w:p>
    <w:p>
      <w:r>
        <w:t xml:space="preserve">Data processed: encryption keys, key metadata, user data via Google APIs, calendar data, email data, profile information</w:t>
      </w:r>
    </w:p>
    <w:p>
      <w:r>
        <w:t xml:space="preserve">Lawful basis: Legitimate interest (Art. 6(1)(f))</w:t>
      </w:r>
    </w:p>
    <w:p>
      <w:r>
        <w:t xml:space="preserve">Reasoning:</w:t>
      </w:r>
    </w:p>
    <w:p>
      <w:r>
        <w:t xml:space="preserve">Processing serves the legitimate interest of providing and improving the service.</w:t>
      </w:r>
    </w:p>
    <w:p>
      <w:pPr>
        <w:ind w:left="720"/>
      </w:pPr>
      <w:r>
        <w:rPr>
          <w:i/>
          <w:color w:val="666666"/>
        </w:rPr>
        <w:t xml:space="preserve">A Legitimate Interest Assessment (LIA) is recommended for this processing activity. See Section 4 below.</w:t>
      </w:r>
    </w:p>
    <w:p>
      <w:pPr>
        <w:pStyle w:val="Heading3"/>
      </w:pPr>
      <w:r>
        <w:t>3.4. User Authentication</w:t>
      </w:r>
    </w:p>
    <w:p>
      <w:r>
        <w:t xml:space="preserve">Services: @simplewebauthn/server, next-auth, passport-microsoft</w:t>
      </w:r>
    </w:p>
    <w:p>
      <w:r>
        <w:t xml:space="preserve">Data processed: biometric authentication data, device attestation, credential IDs, email, name, profile picture, OAuth tokens, session data, Microsoft profile data</w:t>
      </w:r>
    </w:p>
    <w:p>
      <w:r>
        <w:t xml:space="preserve">Lawful basis: Contract performance (Art. 6(1)(b))</w:t>
      </w:r>
    </w:p>
    <w:p>
      <w:r>
        <w:t xml:space="preserve">Reasoning:</w:t>
      </w:r>
    </w:p>
    <w:p>
      <w:r>
        <w:t xml:space="preserve">User authentication is necessary for the performance of the contract between the data controller and the data subject. Without processing login credentials and session data, the service cannot identify the user or provide access to their account. This processing is directly linked to the service the user has agreed to use.</w:t>
      </w:r>
    </w:p>
    <w:p>
      <w:pPr>
        <w:pStyle w:val="Heading3"/>
      </w:pPr>
      <w:r>
        <w:t>3.5. Usage Analytics</w:t>
      </w:r>
    </w:p>
    <w:p>
      <w:r>
        <w:t xml:space="preserve">Services: posthog</w:t>
      </w:r>
    </w:p>
    <w:p>
      <w:r>
        <w:t xml:space="preserve">Data processed: user behavior, session recordings, feature flag usage, device information</w:t>
      </w:r>
    </w:p>
    <w:p>
      <w:r>
        <w:t xml:space="preserve">Lawful basis: Consent / Legitimate interest (Art. 6(1)(a) / Art. 6(1)(f))</w:t>
      </w:r>
    </w:p>
    <w:p>
      <w:r>
        <w:t xml:space="preserve">Reasoning:</w:t>
      </w:r>
    </w:p>
    <w:p>
      <w:r>
        <w:t xml:space="preserve">Analytics processing may rely on consent (obtained via cookie banner) for tracking technologies that are not strictly necessary. Alternatively, aggregated and anonymized analytics may be processed under legitimate interest for product improvement. A Legitimate Interest Assessment should be conducted to document the balancing test if Art. 6(1)(f) is used.</w:t>
      </w:r>
    </w:p>
    <w:p>
      <w:pPr>
        <w:ind w:left="720"/>
      </w:pPr>
      <w:r>
        <w:rPr>
          <w:i/>
          <w:color w:val="666666"/>
        </w:rPr>
        <w:t xml:space="preserve">A Legitimate Interest Assessment (LIA) is recommended for this processing activity. See Section 4 below.</w:t>
      </w:r>
    </w:p>
    <w:p>
      <w:pPr>
        <w:pStyle w:val="Heading3"/>
      </w:pPr>
      <w:r>
        <w:t>3.6. Data Storage</w:t>
      </w:r>
    </w:p>
    <w:p>
      <w:r>
        <w:t xml:space="preserve">Services: prisma</w:t>
      </w:r>
    </w:p>
    <w:p>
      <w:r>
        <w:t xml:space="preserve">Data processed: user data as defined in schema</w:t>
      </w:r>
    </w:p>
    <w:p>
      <w:r>
        <w:t xml:space="preserve">Lawful basis: Contract performance (Art. 6(1)(b))</w:t>
      </w:r>
    </w:p>
    <w:p>
      <w:r>
        <w:t xml:space="preserve">Reasoning:</w:t>
      </w:r>
    </w:p>
    <w:p>
      <w:r>
        <w:t xml:space="preserve">Database storage of user data is necessary to operate the service the user has agreed to use. Without persistent data storage, the service cannot function. Data stored is directly provided by or generated for the user as part of normal service operation.</w:t>
      </w:r>
    </w:p>
    <w:p>
      <w:pPr>
        <w:pStyle w:val="Heading3"/>
      </w:pPr>
      <w:r>
        <w:t>3.7. Payment Processing</w:t>
      </w:r>
    </w:p>
    <w:p>
      <w:r>
        <w:t xml:space="preserve">Services: stripe</w:t>
      </w:r>
    </w:p>
    <w:p>
      <w:r>
        <w:t xml:space="preserve">Data processed: payment information, billing address, email, transaction history</w:t>
      </w:r>
    </w:p>
    <w:p>
      <w:r>
        <w:t xml:space="preserve">Lawful basis: Contract performance / Legal obligation (Art. 6(1)(b) / Art. 6(1)(c))</w:t>
      </w:r>
    </w:p>
    <w:p>
      <w:r>
        <w:t xml:space="preserve">Reasoning:</w:t>
      </w:r>
    </w:p>
    <w:p>
      <w:r>
        <w:t xml:space="preserve">Payment processing is necessary to fulfill the contractual obligation of delivering paid services or goods. Additionally, retention of transaction records is required under tax and accounting regulations (legal obligation). Payment card data is tokenized and processed by PCI DSS-compliant processors, minimizing the controller's exposure.</w:t>
      </w:r>
    </w:p>
    <w:p>
      <w:pPr>
        <w:pStyle w:val="Heading2"/>
      </w:pPr>
      <w:r>
        <w:t>4. Legitimate Interest Assessments (LIA)</w:t>
      </w:r>
    </w:p>
    <w:p>
      <w:r>
        <w:t xml:space="preserve">Under GDPR Art. 6(1)(f), processing based on legitimate interest requires a three-part test. The following assessments should be completed for each processing activity relying on this basis.</w:t>
      </w:r>
    </w:p>
    <w:p>
      <w:pPr>
        <w:pStyle w:val="Heading3"/>
      </w:pPr>
      <w:r>
        <w:t>4.1. LIA: Email Communications</w:t>
      </w:r>
    </w:p>
    <w:p>
      <w:pPr>
        <w:pStyle w:val="Heading4"/>
      </w:pPr>
      <w:r>
        <w:t>Part 1: Purpose Test — Identify the legitimate interest</w:t>
      </w:r>
    </w:p>
    <w:p>
      <w:r>
        <w:rPr>
          <w:sz w:val="20"/>
        </w:rPr>
        <w:t xml:space="preserve">Question  |  Answer</w:t>
      </w:r>
    </w:p>
    <w:p>
      <w:r>
        <w:rPr>
          <w:sz w:val="20"/>
        </w:rPr>
        <w:t xml:space="preserve">What is the purpose of the processing?  |  Sending transactional communications (order confirmations, security alerts, password resets) that users expect as part of the service</w:t>
      </w:r>
    </w:p>
    <w:p>
      <w:r>
        <w:rPr>
          <w:sz w:val="20"/>
        </w:rPr>
        <w:t xml:space="preserve">Is there a genuine need for this processing?  |  [Yes/No — provide justification]</w:t>
      </w:r>
    </w:p>
    <w:p>
      <w:r>
        <w:rPr>
          <w:sz w:val="20"/>
        </w:rPr>
        <w:t xml:space="preserve">Who benefits from the processing?  |  Both the controller (operational communication) and data subjects (receiving expected notifications)</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Transactional emails are the least intrusive way to deliver service-critical information. Alternative channels (SMS, push) may be more intrusive.</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Email addresses and communication records — standard personal data</w:t>
      </w:r>
    </w:p>
    <w:p>
      <w:r>
        <w:rPr>
          <w:sz w:val="20"/>
        </w:rPr>
        <w:t xml:space="preserve">Reasonable expectations of the data subject  |  Users reasonably expect to receive transactional emails related to their use of the service</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Yes — unsubscribe link in every email (marketing); transactional emails cannot be opted out of while using the service</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3"/>
      </w:pPr>
      <w:r>
        <w:t>4.2. LIA: other</w:t>
      </w:r>
    </w:p>
    <w:p>
      <w:pPr>
        <w:pStyle w:val="Heading4"/>
      </w:pPr>
      <w:r>
        <w:t>Part 1: Purpose Test — Identify the legitimate interest</w:t>
      </w:r>
    </w:p>
    <w:p>
      <w:r>
        <w:rPr>
          <w:sz w:val="20"/>
        </w:rPr>
        <w:t xml:space="preserve">Question  |  Answer</w:t>
      </w:r>
    </w:p>
    <w:p>
      <w:r>
        <w:rPr>
          <w:sz w:val="20"/>
        </w:rPr>
        <w:t xml:space="preserve">What is the purpose of the processing?  |  Supporting service operations and improvement</w:t>
      </w:r>
    </w:p>
    <w:p>
      <w:r>
        <w:rPr>
          <w:sz w:val="20"/>
        </w:rPr>
        <w:t xml:space="preserve">Is there a genuine need for this processing?  |  [Yes/No — provide justification]</w:t>
      </w:r>
    </w:p>
    <w:p>
      <w:r>
        <w:rPr>
          <w:sz w:val="20"/>
        </w:rPr>
        <w:t xml:space="preserve">Who benefits from the processing?  |  Both the controller and data subjects</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[Assess whether less intrusive alternatives exist]</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Standard personal data — not special category</w:t>
      </w:r>
    </w:p>
    <w:p>
      <w:r>
        <w:rPr>
          <w:sz w:val="20"/>
        </w:rPr>
        <w:t xml:space="preserve">Reasonable expectations of the data subject  |  [Assess data subject expectations]</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[Describe opt-out mechanism]</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3"/>
      </w:pPr>
      <w:r>
        <w:t>4.3. LIA: Usage Analytics</w:t>
      </w:r>
    </w:p>
    <w:p>
      <w:pPr>
        <w:pStyle w:val="Heading4"/>
      </w:pPr>
      <w:r>
        <w:t>Part 1: Purpose Test — Identify the legitimate interest</w:t>
      </w:r>
    </w:p>
    <w:p>
      <w:r>
        <w:rPr>
          <w:sz w:val="20"/>
        </w:rPr>
        <w:t xml:space="preserve">Question  |  Answer</w:t>
      </w:r>
    </w:p>
    <w:p>
      <w:r>
        <w:rPr>
          <w:sz w:val="20"/>
        </w:rPr>
        <w:t xml:space="preserve">What is the purpose of the processing?  |  Product improvement, understanding user behavior, optimizing user experience, and measuring feature adoption</w:t>
      </w:r>
    </w:p>
    <w:p>
      <w:r>
        <w:rPr>
          <w:sz w:val="20"/>
        </w:rPr>
        <w:t xml:space="preserve">Is there a genuine need for this processing?  |  [Yes/No — provide justification]</w:t>
      </w:r>
    </w:p>
    <w:p>
      <w:r>
        <w:rPr>
          <w:sz w:val="20"/>
        </w:rPr>
        <w:t xml:space="preserve">Who benefits from the processing?  |  Both the controller (product insights) and data subjects (improved user experience)</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Consider whether fully anonymized analytics could serve the same purpose. If not, ensure data minimization and pseudonymization are applied.</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Pseudonymized behavioral data — not special category data</w:t>
      </w:r>
    </w:p>
    <w:p>
      <w:r>
        <w:rPr>
          <w:sz w:val="20"/>
        </w:rPr>
        <w:t xml:space="preserve">Reasonable expectations of the data subject  |  Users generally expect websites to track usage for improvement, though expectations vary by audience. Transparency is key.</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Yes — via cookie preferences and account settings</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2"/>
      </w:pPr>
      <w:r>
        <w:t>5. Consent Management Requirements</w:t>
      </w:r>
    </w:p>
    <w:p>
      <w:r>
        <w:t xml:space="preserve">The following processing activities rely (fully or partially) on consent:</w:t>
      </w:r>
    </w:p>
    <w:p>
      <w:pPr>
        <w:pStyle w:val="Heading3"/>
      </w:pPr>
      <w:r>
        <w:t>AI Processing</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3"/>
      </w:pPr>
      <w:r>
        <w:t>Email Communications</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3"/>
      </w:pPr>
      <w:r>
        <w:t>Usage Analytics</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2"/>
      </w:pPr>
      <w:r>
        <w:t>6. Review Schedule</w:t>
      </w:r>
    </w:p>
    <w:p>
      <w:r>
        <w:t xml:space="preserve">This assessment must be reviewed:</w:t>
      </w:r>
    </w:p>
    <w:p>
      <w:pPr>
        <w:pStyle w:val="ListParagraph"/>
        <w:numPr>
          <w:ilvl w:val="0"/>
          <w:numId w:val="1"/>
        </w:numPr>
      </w:pPr>
      <w:r>
        <w:t xml:space="preserve">**Annually** — Full review of all lawful basis determinations</w:t>
      </w:r>
    </w:p>
    <w:p>
      <w:pPr>
        <w:pStyle w:val="ListParagraph"/>
        <w:numPr>
          <w:ilvl w:val="0"/>
          <w:numId w:val="1"/>
        </w:numPr>
      </w:pPr>
      <w:r>
        <w:t xml:space="preserve">**On change** — When new processing activities are introduced</w:t>
      </w:r>
    </w:p>
    <w:p>
      <w:pPr>
        <w:pStyle w:val="ListParagraph"/>
        <w:numPr>
          <w:ilvl w:val="0"/>
          <w:numId w:val="1"/>
        </w:numPr>
      </w:pPr>
      <w:r>
        <w:t xml:space="preserve">**On regulatory update** — When relevant guidance changes</w:t>
      </w:r>
    </w:p>
    <w:p>
      <w:pPr>
        <w:pStyle w:val="ListParagraph"/>
        <w:numPr>
          <w:ilvl w:val="0"/>
          <w:numId w:val="1"/>
        </w:numPr>
      </w:pPr>
      <w:r>
        <w:t xml:space="preserve">**On complaint** — Following any data subject complaint about processing</w:t>
      </w:r>
    </w:p>
    <w:p>
      <w:pPr>
        <w:pStyle w:val="Heading2"/>
      </w:pPr>
      <w:r>
        <w:t>Review Notes</w:t>
      </w:r>
    </w:p>
    <w:p>
      <w:pPr>
        <w:pStyle w:val="Heading3"/>
      </w:pPr>
      <w:r>
        <w:t>What a lawyer should check</w:t>
      </w:r>
    </w:p>
    <w:p>
      <w:pPr>
        <w:pStyle w:val="ListParagraph"/>
        <w:numPr>
          <w:ilvl w:val="0"/>
          <w:numId w:val="1"/>
        </w:numPr>
      </w:pPr>
      <w:r>
        <w:t xml:space="preserve">Validate each lawful basis selection against the specific processing context</w:t>
      </w:r>
    </w:p>
    <w:p>
      <w:pPr>
        <w:pStyle w:val="ListParagraph"/>
        <w:numPr>
          <w:ilvl w:val="0"/>
          <w:numId w:val="1"/>
        </w:numPr>
      </w:pPr>
      <w:r>
        <w:t xml:space="preserve">Complete all LIA templates with specific factual assessments</w:t>
      </w:r>
    </w:p>
    <w:p>
      <w:pPr>
        <w:pStyle w:val="ListParagraph"/>
        <w:numPr>
          <w:ilvl w:val="0"/>
          <w:numId w:val="1"/>
        </w:numPr>
      </w:pPr>
      <w:r>
        <w:t xml:space="preserve">Verify consent mechanisms meet GDPR requirements</w:t>
      </w:r>
    </w:p>
    <w:p>
      <w:pPr>
        <w:pStyle w:val="ListParagraph"/>
        <w:numPr>
          <w:ilvl w:val="0"/>
          <w:numId w:val="1"/>
        </w:numPr>
      </w:pPr>
      <w:r>
        <w:t xml:space="preserve">Confirm Art. 6(1)(b) claims are truly necessary for contract performance</w:t>
      </w:r>
    </w:p>
    <w:p>
      <w:pPr>
        <w:pStyle w:val="ListParagraph"/>
        <w:numPr>
          <w:ilvl w:val="0"/>
          <w:numId w:val="1"/>
        </w:numPr>
      </w:pPr>
      <w:r>
        <w:t xml:space="preserve">Review whether any processing requires a DPIA under Art. 35</w:t>
      </w:r>
    </w:p>
    <w:p>
      <w:pPr>
        <w:pStyle w:val="Heading3"/>
      </w:pPr>
      <w:r>
        <w:t>Auto-generated vs. needs human input</w:t>
      </w:r>
    </w:p>
    <w:p>
      <w:r>
        <w:rPr>
          <w:sz w:val="20"/>
        </w:rPr>
        <w:t xml:space="preserve">Section  |  Status  |  Confidence</w:t>
      </w:r>
    </w:p>
    <w:p>
      <w:r>
        <w:rPr>
          <w:sz w:val="20"/>
        </w:rPr>
        <w:t xml:space="preserve">Processing activities list  |  Auto-detected from code  |  High</w:t>
      </w:r>
    </w:p>
    <w:p>
      <w:r>
        <w:rPr>
          <w:sz w:val="20"/>
        </w:rPr>
        <w:t xml:space="preserve">Lawful basis selection  |  Auto-assigned defaults  |  Low — requires legal validation</w:t>
      </w:r>
    </w:p>
    <w:p>
      <w:r>
        <w:rPr>
          <w:sz w:val="20"/>
        </w:rPr>
        <w:t xml:space="preserve">Detailed reasoning  |  Template reasoning  |  Medium — needs context-specific review</w:t>
      </w:r>
    </w:p>
    <w:p>
      <w:r>
        <w:rPr>
          <w:sz w:val="20"/>
        </w:rPr>
        <w:t xml:space="preserve">LIA templates  |  Structure only — needs completion  |  Low</w:t>
      </w:r>
    </w:p>
    <w:p>
      <w:r>
        <w:rPr>
          <w:sz w:val="20"/>
        </w:rPr>
        <w:t xml:space="preserve">Consent requirements  |  Checklist only  |  Medium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Subject Categories (`DATA_SUBJECT_CATEGORIES.md`)</w:t>
      </w:r>
    </w:p>
    <w:p>
      <w:pPr>
        <w:pStyle w:val="ListParagraph"/>
        <w:numPr>
          <w:ilvl w:val="0"/>
          <w:numId w:val="1"/>
        </w:numPr>
      </w:pPr>
      <w:r>
        <w:t xml:space="preserve">Record of Processing Activities (`RECORD_OF_PROCESSING_ACTIVITIES.md`)</w:t>
      </w:r>
    </w:p>
    <w:p>
      <w:pPr>
        <w:pStyle w:val="ListParagraph"/>
        <w:numPr>
          <w:ilvl w:val="0"/>
          <w:numId w:val="1"/>
        </w:numPr>
      </w:pPr>
      <w:r>
        <w:t xml:space="preserve">Privacy Impact Assessment (`PRIVACY_IMPACT_ASSESSMENT.md`)</w:t>
      </w:r>
    </w:p>
    <w:p>
      <w:pPr>
        <w:pStyle w:val="ListParagraph"/>
        <w:numPr>
          <w:ilvl w:val="0"/>
          <w:numId w:val="1"/>
        </w:numPr>
      </w:pPr>
      <w:r>
        <w:t xml:space="preserve">Consent Management Guide (`CONSENT_MANAGEMENT_GUIDE.md`)</w:t>
      </w:r>
    </w:p>
    <w:p>
      <w:pPr>
        <w:pBdr>
          <w:bottom w:val="single" w:sz="6" w:space="1" w:color="999999"/>
        </w:pBdr>
      </w:pPr>
    </w:p>
    <w:p>
      <w:r>
        <w:t xml:space="preserve">This Lawful Basis Assessment was auto-generated by [Codepliant](https://github.com/joechensmartz/codepliant) based on code analysis. Lawful basis determinations are preliminary and must be reviewed by qualified legal counsel. All LIA templates must be completed with specific factual assessments before relying on legitimate interest.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