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@documenso/root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Payment-related changes comply with PCI DSS requirements</w:t>
      </w:r>
    </w:p>
    <w:p>
      <w:pPr>
        <w:pStyle w:val="ListParagraph"/>
        <w:numPr>
          <w:ilvl w:val="0"/>
          <w:numId w:val="1"/>
        </w:numPr>
      </w:pPr>
      <w:r>
        <w:t xml:space="preserve">[ ] No credit card data is logged or stored in plaintext</w:t>
      </w:r>
    </w:p>
    <w:p>
      <w:pPr>
        <w:pStyle w:val="ListParagraph"/>
        <w:numPr>
          <w:ilvl w:val="0"/>
          <w:numId w:val="1"/>
        </w:numPr>
      </w:pPr>
      <w:r>
        <w:t xml:space="preserve">[ ] AI model changes include updated model cards and disclosures</w:t>
      </w:r>
    </w:p>
    <w:p>
      <w:pPr>
        <w:pStyle w:val="ListParagraph"/>
        <w:numPr>
          <w:ilvl w:val="0"/>
          <w:numId w:val="1"/>
        </w:numPr>
      </w:pPr>
      <w:r>
        <w:t xml:space="preserve">[ ] AI input/output handling follows data minimization principles</w:t>
      </w:r>
    </w:p>
    <w:p>
      <w:pPr>
        <w:pStyle w:val="ListParagraph"/>
        <w:numPr>
          <w:ilvl w:val="0"/>
          <w:numId w:val="1"/>
        </w:numPr>
      </w:pPr>
      <w:r>
        <w:t xml:space="preserve">[ ] Authentication changes follow OWASP guidelines</w:t>
      </w:r>
    </w:p>
    <w:p>
      <w:pPr>
        <w:pStyle w:val="ListParagraph"/>
        <w:numPr>
          <w:ilvl w:val="0"/>
          <w:numId w:val="1"/>
        </w:numPr>
      </w:pPr>
      <w:r>
        <w:t xml:space="preserve">[ ] Session management changes maintain security properties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