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3 — Defined  |  Privacy documentation is comprehensive</w:t>
      </w:r>
    </w:p>
    <w:p>
      <w:r>
        <w:rPr>
          <w:sz w:val="20"/>
        </w:rPr>
        <w:t xml:space="preserve">Security Controls  |  🟡 Level 3 — Defined  |  Authentication service detected</w:t>
      </w:r>
    </w:p>
    <w:p>
      <w:r>
        <w:rPr>
          <w:sz w:val="20"/>
        </w:rPr>
        <w:t xml:space="preserve">Vendor Management  |  🟡 Level 3 — Defined  |  10 third-party services identified</w:t>
      </w:r>
    </w:p>
    <w:p>
      <w:r>
        <w:rPr>
          <w:sz w:val="20"/>
        </w:rPr>
        <w:t xml:space="preserve">Incident Response  |  🟡 Level 3 — Defined  |  Basic compliance documentation in place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9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3 (Defined)</w:t>
      </w:r>
    </w:p>
    <w:p>
      <w:r>
        <w:t xml:space="preserve">Evidence:</w:t>
      </w:r>
    </w:p>
    <w:p>
      <w:pPr>
        <w:pStyle w:val="ListParagraph"/>
        <w:numPr>
          <w:ilvl w:val="0"/>
          <w:numId w:val="1"/>
        </w:numPr>
      </w:pPr>
      <w:r>
        <w:t xml:space="preserve">Privacy documentation is comprehensive</w:t>
      </w:r>
    </w:p>
    <w:p>
      <w:r>
        <w:t xml:space="preserve">Gaps to Address:</w:t>
      </w:r>
    </w:p>
    <w:p>
      <w:pPr>
        <w:pStyle w:val="ListParagraph"/>
        <w:numPr>
          <w:ilvl w:val="0"/>
          <w:numId w:val="1"/>
        </w:numPr>
      </w:pPr>
      <w:r>
        <w:t xml:space="preserve">[ ] Implement regular privacy impact assessments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10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[Privacy Program] Implement regular privacy impact assessments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Heading4"/>
      </w:pPr>
      <w:r>
        <w:t>Phase 2: Foundation (30–90 days)</w:t>
      </w:r>
    </w:p>
    <w:p>
      <w:pPr>
        <w:pStyle w:val="ListParagraph"/>
        <w:numPr>
          <w:ilvl w:val="0"/>
          <w:numId w:val="2"/>
        </w:numPr>
      </w:pPr>
      <w:r>
        <w:t xml:space="preserve">[Privacy Program] Establish privacy-by-design reviews for all new features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