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Risk Register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This register catalogs compliance risks identified from code analysis.</w:t>
      </w:r>
    </w:p>
    <w:p>
      <w:pPr>
        <w:ind w:left="720"/>
      </w:pPr>
      <w:r>
        <w:rPr>
          <w:i/>
          <w:color w:val="666666"/>
        </w:rPr>
        <w:t xml:space="preserve">Review with legal and security teams before relying on this for risk management.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Risk Level  |  Count</w:t>
      </w:r>
    </w:p>
    <w:p>
      <w:r>
        <w:rPr>
          <w:sz w:val="20"/>
        </w:rPr>
        <w:t xml:space="preserve">🔴 Critical  |  4</w:t>
      </w:r>
    </w:p>
    <w:p>
      <w:r>
        <w:rPr>
          <w:sz w:val="20"/>
        </w:rPr>
        <w:t xml:space="preserve">🟠 High  |  1</w:t>
      </w:r>
    </w:p>
    <w:p>
      <w:r>
        <w:rPr>
          <w:sz w:val="20"/>
        </w:rPr>
        <w:t xml:space="preserve">🟡 Medium  |  2</w:t>
      </w:r>
    </w:p>
    <w:p>
      <w:r>
        <w:rPr>
          <w:sz w:val="20"/>
        </w:rPr>
        <w:t xml:space="preserve">**Total**  |  **7**</w:t>
      </w:r>
    </w:p>
    <w:p>
      <w:pPr>
        <w:pStyle w:val="Heading2"/>
      </w:pPr>
      <w:r>
        <w:t>Risk Scoring Matrix</w:t>
      </w:r>
    </w:p>
    <w:p>
      <w:r>
        <w:t xml:space="preserve">Risk Score = Likelihood × Impact (1–5 each, max 25)</w:t>
      </w:r>
    </w:p>
    <w:p>
      <w:r>
        <w:rPr>
          <w:sz w:val="20"/>
        </w:rPr>
        <w:t xml:space="preserve">Score Range  |  Level  |  Action Required</w:t>
      </w:r>
    </w:p>
    <w:p>
      <w:r>
        <w:rPr>
          <w:sz w:val="20"/>
        </w:rPr>
        <w:t xml:space="preserve">15–25  |  🔴 Critical  |  Immediate remediation required</w:t>
      </w:r>
    </w:p>
    <w:p>
      <w:r>
        <w:rPr>
          <w:sz w:val="20"/>
        </w:rPr>
        <w:t xml:space="preserve">10–14  |  🟠 High  |  Address within 30 days</w:t>
      </w:r>
    </w:p>
    <w:p>
      <w:r>
        <w:rPr>
          <w:sz w:val="20"/>
        </w:rPr>
        <w:t xml:space="preserve">5–9  |  🟡 Medium  |  Address within 90 days</w:t>
      </w:r>
    </w:p>
    <w:p>
      <w:r>
        <w:rPr>
          <w:sz w:val="20"/>
        </w:rPr>
        <w:t xml:space="preserve">1–4  |  🟢 Low  |  Monitor and review quarterly</w:t>
      </w:r>
    </w:p>
    <w:p>
      <w:pPr>
        <w:pStyle w:val="Heading2"/>
      </w:pPr>
      <w:r>
        <w:t>Risk Register</w:t>
      </w:r>
    </w:p>
    <w:p>
      <w:r>
        <w:rPr>
          <w:sz w:val="20"/>
        </w:rPr>
        <w:t xml:space="preserve">ID  |  Risk  |  Category  |  Likelihood  |  Impact  |  Score  |  Level</w:t>
      </w:r>
    </w:p>
    <w:p>
      <w:r>
        <w:rPr>
          <w:sz w:val="20"/>
        </w:rPr>
        <w:t xml:space="preserve">RISK-003  |  GDPR non-compliance  |  regulatory  |  4 (Likely)  |  5 (Critical)  |  20  |  🔴 Critical</w:t>
      </w:r>
    </w:p>
    <w:p>
      <w:r>
        <w:rPr>
          <w:sz w:val="20"/>
        </w:rPr>
        <w:t xml:space="preserve">RISK-005  |  Invalid consent for tracking  |  consent  |  4 (Likely)  |  4 (Major)  |  16  |  🔴 Critical</w:t>
      </w:r>
    </w:p>
    <w:p>
      <w:r>
        <w:rPr>
          <w:sz w:val="20"/>
        </w:rPr>
        <w:t xml:space="preserve">RISK-001  |  User credentials data breach  |  data-breach  |  3 (Possible)  |  5 (Critical)  |  15  |  🔴 Critical</w:t>
      </w:r>
    </w:p>
    <w:p>
      <w:r>
        <w:rPr>
          <w:sz w:val="20"/>
        </w:rPr>
        <w:t xml:space="preserve">RISK-007  |  Missing required compliance documents  |  regulatory  |  5 (Almost Certain)  |  3 (Moderate)  |  15  |  🔴 Critical</w:t>
      </w:r>
    </w:p>
    <w:p>
      <w:r>
        <w:rPr>
          <w:sz w:val="20"/>
        </w:rPr>
        <w:t xml:space="preserve">RISK-002  |  Payment data exposure  |  data-breach  |  2 (Unlikely)  |  5 (Critical)  |  10  |  🟠 High</w:t>
      </w:r>
    </w:p>
    <w:p>
      <w:r>
        <w:rPr>
          <w:sz w:val="20"/>
        </w:rPr>
        <w:t xml:space="preserve">RISK-004  |  Third-party vendor data handling  |  vendor  |  3 (Possible)  |  3 (Moderate)  |  9  |  🟡 Medium</w:t>
      </w:r>
    </w:p>
    <w:p>
      <w:r>
        <w:rPr>
          <w:sz w:val="20"/>
        </w:rPr>
        <w:t xml:space="preserve">RISK-006  |  Unsolicited email communications  |  operational  |  3 (Possible)  |  3 (Moderate)  |  9  |  🟡 Medium</w:t>
      </w:r>
    </w:p>
    <w:p>
      <w:pPr>
        <w:pStyle w:val="Heading2"/>
      </w:pPr>
      <w:r>
        <w:t>Risk Details</w:t>
      </w:r>
    </w:p>
    <w:p>
      <w:pPr>
        <w:pStyle w:val="Heading3"/>
      </w:pPr>
      <w:r>
        <w:t>RISK-003: GDPR non-compliance 🔴</w:t>
      </w:r>
    </w:p>
    <w:p>
      <w:r>
        <w:t xml:space="preserve">Category: regulatory  </w:t>
      </w:r>
    </w:p>
    <w:p>
      <w:r>
        <w:t xml:space="preserve">Likelihood: 4/5 (Likely)  </w:t>
      </w:r>
    </w:p>
    <w:p>
      <w:r>
        <w:t xml:space="preserve">Impact: 5/5 (Critical)  </w:t>
      </w:r>
    </w:p>
    <w:p>
      <w:r>
        <w:t xml:space="preserve">Risk Score: 20/25 (Critical)  </w:t>
      </w:r>
    </w:p>
    <w:p>
      <w:r>
        <w:t xml:space="preserve">Description: Processing personal data of EU residents without full GDPR compliance could result in fines up to 4% of annual global turnover or EUR 20 million.</w:t>
      </w:r>
    </w:p>
    <w:p>
      <w:r>
        <w:t xml:space="preserve">Related Services: @aws-sdk/client-s3, @sentry/nextjs, googleapis, ioredis, next-auth, nodemailer, posthog, prisma, redis,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lawful basis for each data processing activity</w:t>
      </w:r>
    </w:p>
    <w:p>
      <w:pPr>
        <w:pStyle w:val="ListParagraph"/>
        <w:numPr>
          <w:ilvl w:val="0"/>
          <w:numId w:val="1"/>
        </w:numPr>
      </w:pPr>
      <w:r>
        <w:t xml:space="preserve">[ ] Provide clear and accessible privacy notices</w:t>
      </w:r>
    </w:p>
    <w:p>
      <w:pPr>
        <w:pStyle w:val="ListParagraph"/>
        <w:numPr>
          <w:ilvl w:val="0"/>
          <w:numId w:val="1"/>
        </w:numPr>
      </w:pPr>
      <w:r>
        <w:t xml:space="preserve">[ ] Implement DSAR (Data Subject Access Request)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practices</w:t>
      </w:r>
    </w:p>
    <w:p>
      <w:pPr>
        <w:pStyle w:val="Heading3"/>
      </w:pPr>
      <w:r>
        <w:t>RISK-005: Invalid consent for tracking 🔴</w:t>
      </w:r>
    </w:p>
    <w:p>
      <w:r>
        <w:t xml:space="preserve">Category: consent  </w:t>
      </w:r>
    </w:p>
    <w:p>
      <w:r>
        <w:t xml:space="preserve">Likelihood: 4/5 (Likely)  </w:t>
      </w:r>
    </w:p>
    <w:p>
      <w:r>
        <w:t xml:space="preserve">Impact: 4/5 (Major)  </w:t>
      </w:r>
    </w:p>
    <w:p>
      <w:r>
        <w:t xml:space="preserve">Risk Score: 16/25 (Critical)  </w:t>
      </w:r>
    </w:p>
    <w:p>
      <w:r>
        <w:t xml:space="preserve">Description: Analytics and advertising services may collect data before obtaining valid user consent, violating GDPR/ePrivacy requirements.</w:t>
      </w:r>
    </w:p>
    <w:p>
      <w:r>
        <w:t xml:space="preserve">Related Services: posthog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a consent management platform (CMP)</w:t>
      </w:r>
    </w:p>
    <w:p>
      <w:pPr>
        <w:pStyle w:val="ListParagraph"/>
        <w:numPr>
          <w:ilvl w:val="0"/>
          <w:numId w:val="1"/>
        </w:numPr>
      </w:pPr>
      <w:r>
        <w:t xml:space="preserve">[ ] Block tracking scripts until consent is obtained</w:t>
      </w:r>
    </w:p>
    <w:p>
      <w:pPr>
        <w:pStyle w:val="ListParagraph"/>
        <w:numPr>
          <w:ilvl w:val="0"/>
          <w:numId w:val="1"/>
        </w:numPr>
      </w:pPr>
      <w:r>
        <w:t xml:space="preserve">[ ] Document and audit consent flows regularly</w:t>
      </w:r>
    </w:p>
    <w:p>
      <w:pPr>
        <w:pStyle w:val="ListParagraph"/>
        <w:numPr>
          <w:ilvl w:val="0"/>
          <w:numId w:val="1"/>
        </w:numPr>
      </w:pPr>
      <w:r>
        <w:t xml:space="preserve">[ ] Provide granular consent options (not just accept/reject)</w:t>
      </w:r>
    </w:p>
    <w:p>
      <w:pPr>
        <w:pStyle w:val="ListParagraph"/>
        <w:numPr>
          <w:ilvl w:val="0"/>
          <w:numId w:val="1"/>
        </w:numPr>
      </w:pPr>
      <w:r>
        <w:t xml:space="preserve">[ ] Implement consent withdrawal mechanisms</w:t>
      </w:r>
    </w:p>
    <w:p>
      <w:pPr>
        <w:pStyle w:val="Heading3"/>
      </w:pPr>
      <w:r>
        <w:t>RISK-001: User credentials data breach 🔴</w:t>
      </w:r>
    </w:p>
    <w:p>
      <w:r>
        <w:t xml:space="preserve">Category: data-breach  </w:t>
      </w:r>
    </w:p>
    <w:p>
      <w:r>
        <w:t xml:space="preserve">Likelihood: 3/5 (Possible)  </w:t>
      </w:r>
    </w:p>
    <w:p>
      <w:r>
        <w:t xml:space="preserve">Impact: 5/5 (Critical)  </w:t>
      </w:r>
    </w:p>
    <w:p>
      <w:r>
        <w:t xml:space="preserve">Risk Score: 15/25 (Critical)  </w:t>
      </w:r>
    </w:p>
    <w:p>
      <w:r>
        <w:t xml:space="preserve">Description: Authentication or database services store user credentials. A breach could expose passwords, tokens, or personal data.</w:t>
      </w:r>
    </w:p>
    <w:p>
      <w:r>
        <w:t xml:space="preserve">Related Services: ioredis, next-auth, prisma, redis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encryption at rest for all stored credentials</w:t>
      </w:r>
    </w:p>
    <w:p>
      <w:pPr>
        <w:pStyle w:val="ListParagraph"/>
        <w:numPr>
          <w:ilvl w:val="0"/>
          <w:numId w:val="1"/>
        </w:numPr>
      </w:pPr>
      <w:r>
        <w:t xml:space="preserve">[ ] Enable multi-factor authentication</w:t>
      </w:r>
    </w:p>
    <w:p>
      <w:pPr>
        <w:pStyle w:val="ListParagraph"/>
        <w:numPr>
          <w:ilvl w:val="0"/>
          <w:numId w:val="1"/>
        </w:numPr>
      </w:pPr>
      <w:r>
        <w:t xml:space="preserve">[ ] Conduct regular penetration testing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and account lockout policies</w:t>
      </w:r>
    </w:p>
    <w:p>
      <w:pPr>
        <w:pStyle w:val="Heading3"/>
      </w:pPr>
      <w:r>
        <w:t>RISK-007: Missing required compliance documents 🔴</w:t>
      </w:r>
    </w:p>
    <w:p>
      <w:r>
        <w:t xml:space="preserve">Category: regulatory  </w:t>
      </w:r>
    </w:p>
    <w:p>
      <w:r>
        <w:t xml:space="preserve">Likelihood: 5/5 (Almost Certain)  </w:t>
      </w:r>
    </w:p>
    <w:p>
      <w:r>
        <w:t xml:space="preserve">Impact: 3/5 (Moderate)  </w:t>
      </w:r>
    </w:p>
    <w:p>
      <w:r>
        <w:t xml:space="preserve">Risk Score: 15/25 (Critical)  </w:t>
      </w:r>
    </w:p>
    <w:p>
      <w:r>
        <w:t xml:space="preserve">Description: 3 required compliance document(s) identified but not yet generated: Privacy Policy, Cookie Policy, Security Policy.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Run 'codepliant go' to generate required documents</w:t>
      </w:r>
    </w:p>
    <w:p>
      <w:pPr>
        <w:pStyle w:val="ListParagraph"/>
        <w:numPr>
          <w:ilvl w:val="0"/>
          <w:numId w:val="1"/>
        </w:numPr>
      </w:pPr>
      <w:r>
        <w:t xml:space="preserve">[ ] Review and customize generated documents with legal counsel</w:t>
      </w:r>
    </w:p>
    <w:p>
      <w:pPr>
        <w:pStyle w:val="ListParagraph"/>
        <w:numPr>
          <w:ilvl w:val="0"/>
          <w:numId w:val="1"/>
        </w:numPr>
      </w:pPr>
      <w:r>
        <w:t xml:space="preserve">[ ] Publish required documents on your website</w:t>
      </w:r>
    </w:p>
    <w:p>
      <w:pPr>
        <w:pStyle w:val="ListParagraph"/>
        <w:numPr>
          <w:ilvl w:val="0"/>
          <w:numId w:val="1"/>
        </w:numPr>
      </w:pPr>
      <w:r>
        <w:t xml:space="preserve">[ ] Set up regular compliance document reviews (quarterly)</w:t>
      </w:r>
    </w:p>
    <w:p>
      <w:pPr>
        <w:pStyle w:val="Heading3"/>
      </w:pPr>
      <w:r>
        <w:t>RISK-002: Payment data exposure 🟠</w:t>
      </w:r>
    </w:p>
    <w:p>
      <w:r>
        <w:t xml:space="preserve">Category: data-breach  </w:t>
      </w:r>
    </w:p>
    <w:p>
      <w:r>
        <w:t xml:space="preserve">Likelihood: 2/5 (Unlikely)  </w:t>
      </w:r>
    </w:p>
    <w:p>
      <w:r>
        <w:t xml:space="preserve">Impact: 5/5 (Critical)  </w:t>
      </w:r>
    </w:p>
    <w:p>
      <w:r>
        <w:t xml:space="preserve">Risk Score: 10/25 (High)  </w:t>
      </w:r>
    </w:p>
    <w:p>
      <w:r>
        <w:t xml:space="preserve">Description: Payment processing services handle sensitive financial data. PCI DSS compliance failures could lead to fines and data exposure.</w:t>
      </w:r>
    </w:p>
    <w:p>
      <w:r>
        <w:t xml:space="preserve">Related Services: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of all payment processors</w:t>
      </w:r>
    </w:p>
    <w:p>
      <w:pPr>
        <w:pStyle w:val="ListParagraph"/>
        <w:numPr>
          <w:ilvl w:val="0"/>
          <w:numId w:val="1"/>
        </w:numPr>
      </w:pPr>
      <w:r>
        <w:t xml:space="preserve">[ ] Never store raw card numbers — use tokenization</w:t>
      </w:r>
    </w:p>
    <w:p>
      <w:pPr>
        <w:pStyle w:val="ListParagraph"/>
        <w:numPr>
          <w:ilvl w:val="0"/>
          <w:numId w:val="1"/>
        </w:numPr>
      </w:pPr>
      <w:r>
        <w:t xml:space="preserve">[ ] Implement PCI DSS SAQ-A or SAQ-A-EP controls</w:t>
      </w:r>
    </w:p>
    <w:p>
      <w:pPr>
        <w:pStyle w:val="ListParagraph"/>
        <w:numPr>
          <w:ilvl w:val="0"/>
          <w:numId w:val="1"/>
        </w:numPr>
      </w:pPr>
      <w:r>
        <w:t xml:space="preserve">[ ] Conduct annual PCI compliance audits</w:t>
      </w:r>
    </w:p>
    <w:p>
      <w:pPr>
        <w:pStyle w:val="ListParagraph"/>
        <w:numPr>
          <w:ilvl w:val="0"/>
          <w:numId w:val="1"/>
        </w:numPr>
      </w:pPr>
      <w:r>
        <w:t xml:space="preserve">[ ] Use payment processor hosted payment pages where possible</w:t>
      </w:r>
    </w:p>
    <w:p>
      <w:pPr>
        <w:pStyle w:val="Heading3"/>
      </w:pPr>
      <w:r>
        <w:t>RISK-004: Third-party vendor data handling 🟡</w:t>
      </w:r>
    </w:p>
    <w:p>
      <w:r>
        <w:t xml:space="preserve">Category: vendor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10 third-party services detected. Each vendor introduces potential data handling, availability, and compliance risks.</w:t>
      </w:r>
    </w:p>
    <w:p>
      <w:r>
        <w:t xml:space="preserve">Related Services: @aws-sdk/client-s3, @sentry/nextjs, googleapis, ioredis, next-auth, nodemailer, posthog, prisma, redis,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vendors</w:t>
      </w:r>
    </w:p>
    <w:p>
      <w:pPr>
        <w:pStyle w:val="ListParagraph"/>
        <w:numPr>
          <w:ilvl w:val="0"/>
          <w:numId w:val="1"/>
        </w:numPr>
      </w:pPr>
      <w:r>
        <w:t xml:space="preserve">[ ] Conduct annual vendor security assessments</w:t>
      </w:r>
    </w:p>
    <w:p>
      <w:pPr>
        <w:pStyle w:val="ListParagraph"/>
        <w:numPr>
          <w:ilvl w:val="0"/>
          <w:numId w:val="1"/>
        </w:numPr>
      </w:pPr>
      <w:r>
        <w:t xml:space="preserve">[ ] Maintain a sub-processor list and notify users of changes</w:t>
      </w:r>
    </w:p>
    <w:p>
      <w:pPr>
        <w:pStyle w:val="ListParagraph"/>
        <w:numPr>
          <w:ilvl w:val="0"/>
          <w:numId w:val="1"/>
        </w:numPr>
      </w:pPr>
      <w:r>
        <w:t xml:space="preserve">[ ] Implement vendor exit strategies and data portability plans</w:t>
      </w:r>
    </w:p>
    <w:p>
      <w:pPr>
        <w:pStyle w:val="ListParagraph"/>
        <w:numPr>
          <w:ilvl w:val="0"/>
          <w:numId w:val="1"/>
        </w:numPr>
      </w:pPr>
      <w:r>
        <w:t xml:space="preserve">[ ] Monitor vendor security posture and incident reports</w:t>
      </w:r>
    </w:p>
    <w:p>
      <w:pPr>
        <w:pStyle w:val="Heading3"/>
      </w:pPr>
      <w:r>
        <w:t>RISK-006: Unsolicited email communications 🟡</w:t>
      </w:r>
    </w:p>
    <w:p>
      <w:r>
        <w:t xml:space="preserve">Category: operational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Email services may be used to send marketing communications without proper consent, violating CAN-SPAM, GDPR, or CASL.</w:t>
      </w:r>
    </w:p>
    <w:p>
      <w:r>
        <w:t xml:space="preserve">Related Services: nodemailer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double opt-in for marketing emails</w:t>
      </w:r>
    </w:p>
    <w:p>
      <w:pPr>
        <w:pStyle w:val="ListParagraph"/>
        <w:numPr>
          <w:ilvl w:val="0"/>
          <w:numId w:val="1"/>
        </w:numPr>
      </w:pPr>
      <w:r>
        <w:t xml:space="preserve">[ ] Include working unsubscribe links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[ ] Maintain suppression lists and honor unsubscribe requests promptly</w:t>
      </w:r>
    </w:p>
    <w:p>
      <w:pPr>
        <w:pStyle w:val="ListParagraph"/>
        <w:numPr>
          <w:ilvl w:val="0"/>
          <w:numId w:val="1"/>
        </w:numPr>
      </w:pPr>
      <w:r>
        <w:t xml:space="preserve">[ ] Separate transactional and marketing email flows</w:t>
      </w:r>
    </w:p>
    <w:p>
      <w:pPr>
        <w:pStyle w:val="ListParagraph"/>
        <w:numPr>
          <w:ilvl w:val="0"/>
          <w:numId w:val="1"/>
        </w:numPr>
      </w:pPr>
      <w:r>
        <w:t xml:space="preserve">[ ] Document lawful basis for each email communication type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r>
        <w:t xml:space="preserve">This risk register is generated from automated code analysis and should be reviewed by qualified legal and security professionals.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