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formbricks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formbricks, auto-populated based on 10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**CCPA/CPRA** — California Consumer Privacy Act / California Privacy Rights Act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 v4.0.1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Cookie consent and electronic communications</w:t>
      </w:r>
    </w:p>
    <w:p>
      <w:pPr>
        <w:pStyle w:val="ListParagraph"/>
        <w:numPr>
          <w:ilvl w:val="0"/>
          <w:numId w:val="1"/>
        </w:numPr>
      </w:pPr>
      <w:r>
        <w:t xml:space="preserve">**CAN-SPAM Act** — US commercial email requirements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pPr>
        <w:pStyle w:val="ListParagraph"/>
        <w:numPr>
          <w:ilvl w:val="0"/>
          <w:numId w:val="1"/>
        </w:numPr>
      </w:pPr>
      <w:r>
        <w:t xml:space="preserve">[ ] Review "Do Not Sell or Share" mechanisms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Update CCPA disclosures and data collection categories</w:t>
      </w:r>
    </w:p>
    <w:p>
      <w:pPr>
        <w:pStyle w:val="ListParagraph"/>
        <w:numPr>
          <w:ilvl w:val="0"/>
          <w:numId w:val="1"/>
        </w:numPr>
      </w:pPr>
      <w:r>
        <w:t xml:space="preserve">[ ] PCI DSS annual Self-Assessment Questionnaire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pPr>
        <w:pStyle w:val="ListParagraph"/>
        <w:numPr>
          <w:ilvl w:val="0"/>
          <w:numId w:val="1"/>
        </w:numPr>
      </w:pPr>
      <w:r>
        <w:t xml:space="preserve">[ ] Audit authentication session lengths and token lifetimes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pPr>
        <w:pStyle w:val="ListParagraph"/>
        <w:numPr>
          <w:ilvl w:val="0"/>
          <w:numId w:val="1"/>
        </w:numPr>
      </w:pPr>
      <w:r>
        <w:t xml:space="preserve">[ ] Review email marketing consent records (CAN-SPAM / GDPR)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Review international data transfer safeguards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(GDPR Art. 30)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11 items  |  4 items  |  2 items</w:t>
      </w:r>
    </w:p>
    <w:p>
      <w:r>
        <w:rPr>
          <w:sz w:val="20"/>
        </w:rPr>
        <w:t xml:space="preserve">February  |  4 items  |  1 items  |  0 items</w:t>
      </w:r>
    </w:p>
    <w:p>
      <w:r>
        <w:rPr>
          <w:sz w:val="20"/>
        </w:rPr>
        <w:t xml:space="preserve">March  |  5 items  |  1 items  |  0 items</w:t>
      </w:r>
    </w:p>
    <w:p>
      <w:r>
        <w:rPr>
          <w:sz w:val="20"/>
        </w:rPr>
        <w:t xml:space="preserve">April  |  8 items  |  0 items  |  2 items</w:t>
      </w:r>
    </w:p>
    <w:p>
      <w:r>
        <w:rPr>
          <w:sz w:val="20"/>
        </w:rPr>
        <w:t xml:space="preserve">May  |  5 items  |  1 items  |  0 items</w:t>
      </w:r>
    </w:p>
    <w:p>
      <w:r>
        <w:rPr>
          <w:sz w:val="20"/>
        </w:rPr>
        <w:t xml:space="preserve">June  |  5 items  |  1 items  |  0 items</w:t>
      </w:r>
    </w:p>
    <w:p>
      <w:r>
        <w:rPr>
          <w:sz w:val="20"/>
        </w:rPr>
        <w:t xml:space="preserve">July  |  9 items  |  1 items  |  2 items</w:t>
      </w:r>
    </w:p>
    <w:p>
      <w:r>
        <w:rPr>
          <w:sz w:val="20"/>
        </w:rPr>
        <w:t xml:space="preserve">August  |  3 items  |  0 items  |  0 items</w:t>
      </w:r>
    </w:p>
    <w:p>
      <w:r>
        <w:rPr>
          <w:sz w:val="20"/>
        </w:rPr>
        <w:t xml:space="preserve">September  |  5 items  |  1 items  |  0 items</w:t>
      </w:r>
    </w:p>
    <w:p>
      <w:r>
        <w:rPr>
          <w:sz w:val="20"/>
        </w:rPr>
        <w:t xml:space="preserve">October  |  9 items  |  1 items  |  2 items</w:t>
      </w:r>
    </w:p>
    <w:p>
      <w:r>
        <w:rPr>
          <w:sz w:val="20"/>
        </w:rPr>
        <w:t xml:space="preserve">November  |  5 items  |  1 items  |  0 items</w:t>
      </w:r>
    </w:p>
    <w:p>
      <w:r>
        <w:rPr>
          <w:sz w:val="20"/>
        </w:rPr>
        <w:t xml:space="preserve">December  |  4 items  |  1 items  |  1 items</w:t>
      </w:r>
    </w:p>
    <w:p>
      <w:r>
        <w:rPr>
          <w:sz w:val="20"/>
        </w:rPr>
        <w:t xml:space="preserve">**Total**  |  **73 items**  |  **13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Annual PCI DSS Self-Assessment (Jan)</w:t>
      </w:r>
    </w:p>
    <w:p>
      <w:pPr>
        <w:pStyle w:val="ListParagraph"/>
        <w:numPr>
          <w:ilvl w:val="0"/>
          <w:numId w:val="1"/>
        </w:numPr>
      </w:pPr>
      <w:r>
        <w:t xml:space="preserve">Quarterly vulnerability scans (Jan, Apr, Jul, Oct)</w:t>
      </w:r>
    </w:p>
    <w:p>
      <w:pPr>
        <w:pStyle w:val="Heading3"/>
      </w:pPr>
      <w:r>
        <w:t>Analytics / Advertising (posthog)</w:t>
      </w:r>
    </w:p>
    <w:p>
      <w:pPr>
        <w:pStyle w:val="ListParagraph"/>
        <w:numPr>
          <w:ilvl w:val="0"/>
          <w:numId w:val="1"/>
        </w:numPr>
      </w:pPr>
      <w:r>
        <w:t xml:space="preserve">Quarterly cookie consent review (Jan, Apr, Jul, Oct)</w:t>
      </w:r>
    </w:p>
    <w:p>
      <w:pPr>
        <w:pStyle w:val="ListParagraph"/>
        <w:numPr>
          <w:ilvl w:val="0"/>
          <w:numId w:val="1"/>
        </w:numPr>
      </w:pPr>
      <w:r>
        <w:t xml:space="preserve">Annual CCPA "sale" classification review (Jan)</w:t>
      </w:r>
    </w:p>
    <w:p>
      <w:pPr>
        <w:pStyle w:val="Heading3"/>
      </w:pPr>
      <w:r>
        <w:t>Authentication Services (next-auth)</w:t>
      </w:r>
    </w:p>
    <w:p>
      <w:pPr>
        <w:pStyle w:val="ListParagraph"/>
        <w:numPr>
          <w:ilvl w:val="0"/>
          <w:numId w:val="1"/>
        </w:numPr>
      </w:pPr>
      <w:r>
        <w:t xml:space="preserve">Semi-annual access control audit (Jun)</w:t>
      </w:r>
    </w:p>
    <w:p>
      <w:pPr>
        <w:pStyle w:val="ListParagraph"/>
        <w:numPr>
          <w:ilvl w:val="0"/>
          <w:numId w:val="1"/>
        </w:numPr>
      </w:pPr>
      <w:r>
        <w:t xml:space="preserve">Token and session lifetime review (Jun)</w:t>
      </w:r>
    </w:p>
    <w:p>
      <w:pPr>
        <w:pStyle w:val="Heading3"/>
      </w:pPr>
      <w:r>
        <w:t>Email Services (nodemailer)</w:t>
      </w:r>
    </w:p>
    <w:p>
      <w:pPr>
        <w:pStyle w:val="ListParagraph"/>
        <w:numPr>
          <w:ilvl w:val="0"/>
          <w:numId w:val="1"/>
        </w:numPr>
      </w:pPr>
      <w:r>
        <w:t xml:space="preserve">Annual consent record review (Sep)</w:t>
      </w:r>
    </w:p>
    <w:p>
      <w:pPr>
        <w:pStyle w:val="ListParagraph"/>
        <w:numPr>
          <w:ilvl w:val="0"/>
          <w:numId w:val="1"/>
        </w:numPr>
      </w:pPr>
      <w:r>
        <w:t xml:space="preserve">Unsubscribe mechanism verification (Sep)</w:t>
      </w:r>
    </w:p>
    <w:p>
      <w:pPr>
        <w:pStyle w:val="Heading3"/>
      </w:pPr>
      <w:r>
        <w:t>Storage / Database Services (@aws-sdk/client-s3, ioredis, prisma, redis)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