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formbricks</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**formbricks**. Terms are sourced from GDPR, CCPA/CPRA, EU AI Act, SOC 2, ISO 27001, PCI DSS, HIPAA, and general data protection standards.</w:t>
      </w:r>
    </w:p>
    <w:p>
      <w:r>
        <w:t xml:space="preserve">54 terms defined based on 10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**BCP**  |  Business Continuity Plan  |  ISO 22301 / ISO 27001 A.17</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**DRP**  |  Disaster Recovery Plan  |  NIST SP 800-34 / ISO 27031</w:t>
      </w:r>
    </w:p>
    <w:p>
      <w:r>
        <w:rPr>
          <w:sz w:val="20"/>
        </w:rPr>
        <w:t xml:space="preserve">**DNS**  |  Do Not Sell or Share  |  CCPA §1798.120, CPRA</w:t>
      </w:r>
    </w:p>
    <w:p>
      <w:r>
        <w:rPr>
          <w:sz w:val="20"/>
        </w:rPr>
        <w:t xml:space="preserve">**HIPAA**  |  Health Insurance Portability and Accountability Act  |  HIPAA (45 CFR Parts 160, 164)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r>
        <w:t xml:space="preserve">Business Continuity Plan (BCP)</w:t>
      </w:r>
    </w:p>
    <w:p>
      <w:pPr>
        <w:ind w:left="720"/>
      </w:pPr>
      <w:r>
        <w:rPr>
          <w:i/>
          <w:color w:val="666666"/>
        </w:rPr>
        <w:t xml:space="preserve">A documented plan that outlines how an organization will continue to operate during and after a significant disruption, including data recovery and service restoration.</w:t>
      </w:r>
    </w:p>
    <w:p>
      <w:pPr>
        <w:ind w:left="720"/>
      </w:pPr>
      <w:r>
        <w:rPr>
          <w:i/>
          <w:color w:val="666666"/>
        </w:rPr>
        <w:t xml:space="preserve">*Source: ISO 22301 / ISO 27001 A.17*</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Disaster Recovery Plan (DRP)</w:t>
      </w:r>
    </w:p>
    <w:p>
      <w:pPr>
        <w:ind w:left="720"/>
      </w:pPr>
      <w:r>
        <w:rPr>
          <w:i/>
          <w:color w:val="666666"/>
        </w:rPr>
        <w:t xml:space="preserve">A subset of business continuity planning focused specifically on restoring IT systems, data, and infrastructure after a major incident or disaster.</w:t>
      </w:r>
    </w:p>
    <w:p>
      <w:pPr>
        <w:ind w:left="720"/>
      </w:pPr>
      <w:r>
        <w:rPr>
          <w:i/>
          <w:color w:val="666666"/>
        </w:rPr>
        <w:t xml:space="preserve">*Source: NIST SP 800-34 / ISO 27031*</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Special Category Data</w:t>
      </w:r>
    </w:p>
    <w:p>
      <w:pPr>
        <w:ind w:left="720"/>
      </w:pPr>
      <w:r>
        <w:rPr>
          <w:i/>
          <w:color w:val="666666"/>
        </w:rPr>
        <w:t xml:space="preserve">Sensitive personal data revealing racial/ethnic origin, political opinions, religious beliefs, trade union membership, genetic data, biometric data, health data, or sexual orientation. Processing is prohibited except under specific conditions.</w:t>
      </w:r>
    </w:p>
    <w:p>
      <w:pPr>
        <w:ind w:left="720"/>
      </w:pPr>
      <w:r>
        <w:rPr>
          <w:i/>
          <w:color w:val="666666"/>
        </w:rPr>
        <w:t xml:space="preserve">*Source: GDPR Art. 9*</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formbricks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