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OATH-20260316-FORMBRICKS</w:t>
      </w:r>
    </w:p>
    <w:p>
      <w:r>
        <w:t xml:space="preserve">Effective Date: 2026-03-16</w:t>
      </w:r>
    </w:p>
    <w:p>
      <w:r>
        <w:t xml:space="preserve">Project: formbricks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formbricks</w:t>
      </w:r>
    </w:p>
    <w:p>
      <w:pPr>
        <w:pStyle w:val="ListParagraph"/>
        <w:numPr>
          <w:ilvl w:val="0"/>
          <w:numId w:val="1"/>
        </w:numPr>
      </w:pPr>
      <w:r>
        <w:t xml:space="preserve">**Services covered:** 10 third-party services across 8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storage, monitoring, other, database, auth, email, analytics, payment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Analytics and Tracking</w:t>
      </w:r>
    </w:p>
    <w:p>
      <w:pPr>
        <w:pStyle w:val="ListParagraph"/>
        <w:numPr>
          <w:ilvl w:val="0"/>
          <w:numId w:val="1"/>
        </w:numPr>
      </w:pPr>
      <w:r>
        <w:t xml:space="preserve">Implement proper consent mechanisms before collecting analytics data</w:t>
      </w:r>
    </w:p>
    <w:p>
      <w:pPr>
        <w:pStyle w:val="ListParagraph"/>
        <w:numPr>
          <w:ilvl w:val="0"/>
          <w:numId w:val="1"/>
        </w:numPr>
      </w:pPr>
      <w:r>
        <w:t xml:space="preserve">Minimize data collection to what is strictly necessary</w:t>
      </w:r>
    </w:p>
    <w:p>
      <w:pPr>
        <w:pStyle w:val="ListParagraph"/>
        <w:numPr>
          <w:ilvl w:val="0"/>
          <w:numId w:val="1"/>
        </w:numPr>
      </w:pPr>
      <w:r>
        <w:t xml:space="preserve">Review analytics data retention policies quarterly</w:t>
      </w:r>
    </w:p>
    <w:p>
      <w:pPr>
        <w:pStyle w:val="ListParagraph"/>
        <w:numPr>
          <w:ilvl w:val="0"/>
          <w:numId w:val="1"/>
        </w:numPr>
      </w:pPr>
      <w:r>
        <w:t xml:space="preserve">Ensure analytics configurations respect user privacy preferences (DNT, GPC)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