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[Your Company Name].**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10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10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1, Day 3: Cookie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Cookie Policy** (`COOKIE_POLICY.md`)</w:t>
      </w:r>
    </w:p>
    <w:p>
      <w:r>
        <w:t xml:space="preserve">  - Verify all detected cookies are listed</w:t>
      </w:r>
    </w:p>
    <w:p>
      <w:r>
        <w:t xml:space="preserve">  - Cross-reference with `COOKIE_INVENTORY.md`</w:t>
      </w:r>
    </w:p>
    <w:p>
      <w:r>
        <w:t xml:space="preserve">  - ePrivacy Directive requires consent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banner**</w:t>
      </w:r>
    </w:p>
    <w:p>
      <w:r>
        <w:t xml:space="preserve">  - Import `COOKIECONSENTCONFIG.json` into your CMP</w:t>
      </w:r>
    </w:p>
    <w:p>
      <w:r>
        <w:t xml:space="preserve">  - Test consent flow: banner appears, preferences saved, cookies blocked until consent</w:t>
      </w:r>
    </w:p>
    <w:p>
      <w:r>
        <w:t xml:space="preserve">  - Verify banner appears on first visit in EU/UK</w:t>
      </w:r>
    </w:p>
    <w:p>
      <w:pPr>
        <w:pStyle w:val="Heading3"/>
      </w:pPr>
      <w:r>
        <w:t>Week 1, Day 5: Payment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(`REFUND_POLICY.md`)</w:t>
      </w:r>
    </w:p>
    <w:p>
      <w:r>
        <w:t xml:space="preserve">  - Required in EU (14-day cooling-off period for digital services)</w:t>
      </w:r>
    </w:p>
    <w:p>
      <w:r>
        <w:t xml:space="preserve">  - Customize refund window and process for your business model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r>
        <w:rPr>
          <w:sz w:val="20"/>
        </w:rPr>
        <w:t xml:space="preserve">Cookie Policy  |  ☐ Reviewed  |  ☐ Published  |  `/cookies`</w:t>
      </w:r>
    </w:p>
    <w:p>
      <w:r>
        <w:rPr>
          <w:sz w:val="20"/>
        </w:rPr>
        <w:t xml:space="preserve">Cookie Consent Banner  |  ☐ Configured  |  ☐ Deployed  |  —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security@yourcompany.com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SOC 2 Preparation</w:t>
      </w:r>
    </w:p>
    <w:p>
      <w:pPr>
        <w:pStyle w:val="ListParagraph"/>
        <w:numPr>
          <w:ilvl w:val="0"/>
          <w:numId w:val="1"/>
        </w:numPr>
      </w:pPr>
      <w:r>
        <w:t xml:space="preserve">[ ] **Complete SOC 2 Readiness Checklist** (`SOC2_READINESS_CHECKLIST.md`)</w:t>
      </w:r>
    </w:p>
    <w:p>
      <w:r>
        <w:t xml:space="preserve">  - Map controls to Trust Service Criteria</w:t>
      </w:r>
    </w:p>
    <w:p>
      <w:r>
        <w:t xml:space="preserve">  - Identify gaps in current implementation</w:t>
      </w:r>
    </w:p>
    <w:p>
      <w:r>
        <w:t xml:space="preserve">  - Begin evidence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ISO 27001 Checklist** (`ISO_27001_CHECKLIST.md`)</w:t>
      </w:r>
    </w:p>
    <w:p>
      <w:r>
        <w:t xml:space="preserve">  - Align with Annex A controls</w:t>
      </w:r>
    </w:p>
    <w:p>
      <w:r>
        <w:t xml:space="preserve">  - Document existing controls</w:t>
      </w:r>
    </w:p>
    <w:p>
      <w:r>
        <w:t xml:space="preserve">  - Plan gap remediation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10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Recommended for any large-scale data processing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2026-03-16.</w:t>
      </w:r>
    </w:p>
    <w:p>
      <w:r>
        <w:t xml:space="preserve">This roadmap is personalized to your detected stack (10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