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**6**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**5**</w:t>
      </w:r>
    </w:p>
    <w:p>
      <w:r>
        <w:rPr>
          <w:sz w:val="20"/>
        </w:rPr>
        <w:t xml:space="preserve">Single Points of Failure  |  **5**</w:t>
      </w:r>
    </w:p>
    <w:p>
      <w:pPr>
        <w:ind w:left="720"/>
      </w:pPr>
      <w:r>
        <w:rPr>
          <w:i/>
          <w:color w:val="666666"/>
        </w:rPr>
        <w:t xml:space="preserve">**Action Required:** 5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Privacy Champion / Consent Manager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Privacy Champion / Consent Manager 🟠</w:t>
      </w:r>
    </w:p>
    <w:p>
      <w:r>
        <w:t xml:space="preserve">Description: Manages consent management platform (CMP), cookie compliance, and tracking consent workflows.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privacy champion]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CMP configuration and how to update cookie categories</w:t>
      </w:r>
    </w:p>
    <w:p>
      <w:pPr>
        <w:pStyle w:val="ListParagraph"/>
        <w:numPr>
          <w:ilvl w:val="0"/>
          <w:numId w:val="1"/>
        </w:numPr>
      </w:pPr>
      <w:r>
        <w:t xml:space="preserve">[ ] Train marketing team on consent requirements before launching new campaigns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adding new analytics or advertising services</w:t>
      </w:r>
    </w:p>
    <w:p>
      <w:pPr>
        <w:pStyle w:val="ListParagraph"/>
        <w:numPr>
          <w:ilvl w:val="0"/>
          <w:numId w:val="1"/>
        </w:numPr>
      </w:pPr>
      <w:r>
        <w:t xml:space="preserve">[ ] Share CMP admin access with at least two team members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ePrivacy Directive: Invalid consent can result in immediate enforcement action</w:t>
      </w:r>
    </w:p>
    <w:p>
      <w:pPr>
        <w:pStyle w:val="ListParagraph"/>
        <w:numPr>
          <w:ilvl w:val="0"/>
          <w:numId w:val="1"/>
        </w:numPr>
      </w:pPr>
      <w:r>
        <w:t xml:space="preserve">GDPR Art. 7: Consent must be demonstrable — records must be maintained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10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