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7</w:t>
      </w:r>
    </w:p>
    <w:p>
      <w:pPr>
        <w:pStyle w:val="Heading2"/>
      </w:pPr>
      <w:r>
        <w:t>2. Processing Activities Summary</w:t>
      </w:r>
    </w:p>
    <w:p>
      <w:r>
        <w:rPr>
          <w:sz w:val="20"/>
        </w:rPr>
        <w:t xml:space="preserve">Metric  |  Count</w:t>
      </w:r>
    </w:p>
    <w:p>
      <w:r>
        <w:rPr>
          <w:sz w:val="20"/>
        </w:rPr>
        <w:t xml:space="preserve">Total processing activities  |  7</w:t>
      </w:r>
    </w:p>
    <w:p>
      <w:r>
        <w:rPr>
          <w:sz w:val="20"/>
        </w:rPr>
        <w:t xml:space="preserve">High risk activities  |  1</w:t>
      </w:r>
    </w:p>
    <w:p>
      <w:r>
        <w:rPr>
          <w:sz w:val="20"/>
        </w:rPr>
        <w:t xml:space="preserve">Medium risk activities  |  4</w:t>
      </w:r>
    </w:p>
    <w:p>
      <w:r>
        <w:rPr>
          <w:sz w:val="20"/>
        </w:rPr>
        <w:t xml:space="preserve">Low risk activities  |  2</w:t>
      </w:r>
    </w:p>
    <w:p>
      <w:r>
        <w:rPr>
          <w:sz w:val="20"/>
        </w:rPr>
        <w:t xml:space="preserve">Activities with international transfers  |  6</w:t>
      </w:r>
    </w:p>
    <w:p>
      <w:r>
        <w:rPr>
          <w:sz w:val="20"/>
        </w:rPr>
        <w:t xml:space="preserve">Activities with automated decision-making  |  0</w:t>
      </w:r>
    </w:p>
    <w:p>
      <w:pPr>
        <w:ind w:left="720"/>
      </w:pPr>
      <w:r>
        <w:rPr>
          <w:i/>
          <w:color w:val="666666"/>
        </w:rPr>
        <w:t xml:space="preserve">**DPIA Required:** 1 high-risk processing activity has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next-auth</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Website &amp; Product Analytics</w:t>
      </w:r>
    </w:p>
    <w:p>
      <w:r>
        <w:rPr>
          <w:sz w:val="20"/>
        </w:rPr>
        <w:t xml:space="preserve">Field  |  Details</w:t>
      </w:r>
    </w:p>
    <w:p>
      <w:r>
        <w:rPr>
          <w:sz w:val="20"/>
        </w:rPr>
        <w:t xml:space="preserve">**Activity ID**  |  PA-002</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posthog</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PA-003: Payment Processing &amp; Billing</w:t>
      </w:r>
    </w:p>
    <w:p>
      <w:r>
        <w:rPr>
          <w:sz w:val="20"/>
        </w:rPr>
        <w:t xml:space="preserve">Field  |  Details</w:t>
      </w:r>
    </w:p>
    <w:p>
      <w:r>
        <w:rPr>
          <w:sz w:val="20"/>
        </w:rPr>
        <w:t xml:space="preserve">**Activity ID**  |  PA-003</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PA-004: Email Communications</w:t>
      </w:r>
    </w:p>
    <w:p>
      <w:r>
        <w:rPr>
          <w:sz w:val="20"/>
        </w:rPr>
        <w:t xml:space="preserve">Field  |  Details</w:t>
      </w:r>
    </w:p>
    <w:p>
      <w:r>
        <w:rPr>
          <w:sz w:val="20"/>
        </w:rPr>
        <w:t xml:space="preserve">**Activity ID**  |  PA-004</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nodemailer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PA-005: Error Monitoring &amp; Application Performance</w:t>
      </w:r>
    </w:p>
    <w:p>
      <w:r>
        <w:rPr>
          <w:sz w:val="20"/>
        </w:rPr>
        <w:t xml:space="preserve">Field  |  Details</w:t>
      </w:r>
    </w:p>
    <w:p>
      <w:r>
        <w:rPr>
          <w:sz w:val="20"/>
        </w:rPr>
        <w:t xml:space="preserve">**Activity ID**  |  PA-005</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@sentry/nextjs</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PA-006: File Storage &amp; Media Management</w:t>
      </w:r>
    </w:p>
    <w:p>
      <w:r>
        <w:rPr>
          <w:sz w:val="20"/>
        </w:rPr>
        <w:t xml:space="preserve">Field  |  Details</w:t>
      </w:r>
    </w:p>
    <w:p>
      <w:r>
        <w:rPr>
          <w:sz w:val="20"/>
        </w:rPr>
        <w:t xml:space="preserve">**Activity ID**  |  PA-006</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@aws-sdk/client-s3</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PA-007: Primary Data Storage</w:t>
      </w:r>
    </w:p>
    <w:p>
      <w:r>
        <w:rPr>
          <w:sz w:val="20"/>
        </w:rPr>
        <w:t xml:space="preserve">Field  |  Details</w:t>
      </w:r>
    </w:p>
    <w:p>
      <w:r>
        <w:rPr>
          <w:sz w:val="20"/>
        </w:rPr>
        <w:t xml:space="preserve">**Activity ID**  |  PA-007</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ioredis (managed/self-hosted), prisma (managed/self-hosted), 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Website &amp; Product Analytics  |  Consent  |  Page views, Click events, Session duration ...  |  Medium</w:t>
      </w:r>
    </w:p>
    <w:p>
      <w:r>
        <w:rPr>
          <w:sz w:val="20"/>
        </w:rPr>
        <w:t xml:space="preserve">PA-003  |  Payment Processing &amp; Billing  |  Contract performance  |  Payment card tokens, Billing address, Email ...  |  High</w:t>
      </w:r>
    </w:p>
    <w:p>
      <w:r>
        <w:rPr>
          <w:sz w:val="20"/>
        </w:rPr>
        <w:t xml:space="preserve">PA-004  |  Email Communications  |  Contract performance  |  Email address, Name, Email content ...  |  Low</w:t>
      </w:r>
    </w:p>
    <w:p>
      <w:r>
        <w:rPr>
          <w:sz w:val="20"/>
        </w:rPr>
        <w:t xml:space="preserve">PA-005  |  Error Monitoring &amp; Application Performance  |  Legitimate interest  |  Error stack traces, Request metadata, User agent ...  |  Low</w:t>
      </w:r>
    </w:p>
    <w:p>
      <w:r>
        <w:rPr>
          <w:sz w:val="20"/>
        </w:rPr>
        <w:t xml:space="preserve">PA-006  |  File Storage &amp; Media Management  |  Contract performance  |  Uploaded files, File metadata, EXIF data (images) ...  |  Medium</w:t>
      </w:r>
    </w:p>
    <w:p>
      <w:r>
        <w:rPr>
          <w:sz w:val="20"/>
        </w:rPr>
        <w:t xml:space="preserve">PA-007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PA-003, PA-004, PA-006, PA-007</w:t>
      </w:r>
    </w:p>
    <w:p>
      <w:r>
        <w:rPr>
          <w:sz w:val="20"/>
        </w:rPr>
        <w:t xml:space="preserve">Consent (Art. 6(1)(a)) or Legitimate interest (Art. 6(1)(f))  |  PA-002</w:t>
      </w:r>
    </w:p>
    <w:p>
      <w:r>
        <w:rPr>
          <w:sz w:val="20"/>
        </w:rPr>
        <w:t xml:space="preserve">Legitimate interest (Art. 6(1)(f))  |  PA-005</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next-auth  |  Standard Contractual Clauses (SCCs)</w:t>
      </w:r>
    </w:p>
    <w:p>
      <w:r>
        <w:rPr>
          <w:sz w:val="20"/>
        </w:rPr>
        <w:t xml:space="preserve">PA-002: Website &amp; Product Analytics  |  posthog  |  Standard Contractual Clauses (SCCs)</w:t>
      </w:r>
    </w:p>
    <w:p>
      <w:r>
        <w:rPr>
          <w:sz w:val="20"/>
        </w:rPr>
        <w:t xml:space="preserve">PA-003: Payment Processing &amp; Billing  |  stripe  |  PCI DSS compliance, Standard Contractual Clauses</w:t>
      </w:r>
    </w:p>
    <w:p>
      <w:r>
        <w:rPr>
          <w:sz w:val="20"/>
        </w:rPr>
        <w:t xml:space="preserve">PA-004: Email Communications  |  nodemailer  |  Standard Contractual Clauses (SCCs)</w:t>
      </w:r>
    </w:p>
    <w:p>
      <w:r>
        <w:rPr>
          <w:sz w:val="20"/>
        </w:rPr>
        <w:t xml:space="preserve">PA-005: Error Monitoring &amp; Application Performance  |  @sentry/nextjs  |  Standard Contractual Clauses (SCCs)</w:t>
      </w:r>
    </w:p>
    <w:p>
      <w:r>
        <w:rPr>
          <w:sz w:val="20"/>
        </w:rPr>
        <w:t xml:space="preserve">PA-006: File Storage &amp; Media Management  |  @aws-sdk/client-s3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