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formbricks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**Website Visitors**  |  IP address, browser info, cookies, page views  |  Legitimate interest / Consent (Art. 6(1)(f)/(a))  |  26 months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