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Lawful Basis Assessment</w:t>
      </w:r>
    </w:p>
    <w:p>
      <w:pPr>
        <w:ind w:left="720"/>
      </w:pPr>
      <w:r>
        <w:rPr>
          <w:i/>
          <w:color w:val="666666"/>
        </w:rPr>
        <w:t xml:space="preserve">**[Your Company Name]** — GDPR Article 6 Lawful Basis Assessment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**Assessment Date**  |  2026-03-16</w:t>
      </w:r>
    </w:p>
    <w:p>
      <w:pPr>
        <w:pStyle w:val="Heading2"/>
      </w:pPr>
      <w:r>
        <w:t>2. Lawful Basis Summary</w:t>
      </w:r>
    </w:p>
    <w:p>
      <w:r>
        <w:rPr>
          <w:sz w:val="20"/>
        </w:rPr>
        <w:t xml:space="preserve">Processing Activity  |  Lawful Basis  |  GDPR Article  |  Requires LIA</w:t>
      </w:r>
    </w:p>
    <w:p>
      <w:r>
        <w:rPr>
          <w:sz w:val="20"/>
        </w:rPr>
        <w:t xml:space="preserve">File Storage  |  Contract performance  |  Art. 6(1)(b)  |  No</w:t>
      </w:r>
    </w:p>
    <w:p>
      <w:r>
        <w:rPr>
          <w:sz w:val="20"/>
        </w:rPr>
        <w:t xml:space="preserve">Error Monitoring  |  Legitimate interest  |  Art. 6(1)(f)  |  Yes</w:t>
      </w:r>
    </w:p>
    <w:p>
      <w:r>
        <w:rPr>
          <w:sz w:val="20"/>
        </w:rPr>
        <w:t xml:space="preserve">other  |  Legitimate interest  |  Art. 6(1)(f)  |  Yes</w:t>
      </w:r>
    </w:p>
    <w:p>
      <w:r>
        <w:rPr>
          <w:sz w:val="20"/>
        </w:rPr>
        <w:t xml:space="preserve">Data Storage  |  Contract performance  |  Art. 6(1)(b)  |  No</w:t>
      </w:r>
    </w:p>
    <w:p>
      <w:r>
        <w:rPr>
          <w:sz w:val="20"/>
        </w:rPr>
        <w:t xml:space="preserve">User Authentication  |  Contract performance  |  Art. 6(1)(b)  |  No</w:t>
      </w:r>
    </w:p>
    <w:p>
      <w:r>
        <w:rPr>
          <w:sz w:val="20"/>
        </w:rPr>
        <w:t xml:space="preserve">Email Communications  |  Legitimate interest / Consent  |  Art. 6(1)(f) / Art. 6(1)(a)  |  Yes</w:t>
      </w:r>
    </w:p>
    <w:p>
      <w:r>
        <w:rPr>
          <w:sz w:val="20"/>
        </w:rPr>
        <w:t xml:space="preserve">Usage Analytics  |  Consent / Legitimate interest  |  Art. 6(1)(a) / Art. 6(1)(f)  |  Yes</w:t>
      </w:r>
    </w:p>
    <w:p>
      <w:r>
        <w:rPr>
          <w:sz w:val="20"/>
        </w:rPr>
        <w:t xml:space="preserve">Payment Processing  |  Contract performance / Legal obligation  |  Art. 6(1)(b) / Art. 6(1)(c)  |  No</w:t>
      </w:r>
    </w:p>
    <w:p>
      <w:pPr>
        <w:pStyle w:val="Heading2"/>
      </w:pPr>
      <w:r>
        <w:t>3. Detailed Assessments</w:t>
      </w:r>
    </w:p>
    <w:p>
      <w:pPr>
        <w:pStyle w:val="Heading3"/>
      </w:pPr>
      <w:r>
        <w:t>3.1. File Storage</w:t>
      </w:r>
    </w:p>
    <w:p>
      <w:r>
        <w:t xml:space="preserve">Services: @aws-sdk/client-s3</w:t>
      </w:r>
    </w:p>
    <w:p>
      <w:r>
        <w:t xml:space="preserve">Data processed: uploaded files, file metadata</w:t>
      </w:r>
    </w:p>
    <w:p>
      <w:r>
        <w:t xml:space="preserve">Lawful basis: Contract performance (Art. 6(1)(b))</w:t>
      </w:r>
    </w:p>
    <w:p>
      <w:r>
        <w:t xml:space="preserve">Reasoning:</w:t>
      </w:r>
    </w:p>
    <w:p>
      <w:r>
        <w:t xml:space="preserve">File storage processing is necessary to provide the storage service that the user has contracted for. The user explicitly uploads files with the expectation that they will be stored and retrievable. This is a core part of the service agreement.</w:t>
      </w:r>
    </w:p>
    <w:p>
      <w:pPr>
        <w:pStyle w:val="Heading3"/>
      </w:pPr>
      <w:r>
        <w:t>3.2. Error Monitoring</w:t>
      </w:r>
    </w:p>
    <w:p>
      <w:r>
        <w:t xml:space="preserve">Services: @sentry/nextjs</w:t>
      </w:r>
    </w:p>
    <w:p>
      <w:r>
        <w:t xml:space="preserve">Data processed: error data, stack traces, user context, device information, IP address</w:t>
      </w:r>
    </w:p>
    <w:p>
      <w:r>
        <w:t xml:space="preserve">Lawful basis: Legitimate interest (Art. 6(1)(f))</w:t>
      </w:r>
    </w:p>
    <w:p>
      <w:r>
        <w:t xml:space="preserve">Reasoning:</w:t>
      </w:r>
    </w:p>
    <w:p>
      <w:r>
        <w:t xml:space="preserve">Error monitoring and performance tracking serve the legitimate interest of maintaining service reliability, detecting and resolving technical issues, and ensuring security. Data subjects reasonably expect that a software service will monitor for errors. Data collected is primarily technical (stack traces, device info) with minimal personal data impact.</w:t>
      </w:r>
    </w:p>
    <w:p>
      <w:pPr>
        <w:ind w:left="720"/>
      </w:pPr>
      <w:r>
        <w:rPr>
          <w:i/>
          <w:color w:val="666666"/>
        </w:rPr>
        <w:t xml:space="preserve">A Legitimate Interest Assessment (LIA) is recommended for this processing activity. See Section 4 below.</w:t>
      </w:r>
    </w:p>
    <w:p>
      <w:pPr>
        <w:pStyle w:val="Heading3"/>
      </w:pPr>
      <w:r>
        <w:t>3.3. other</w:t>
      </w:r>
    </w:p>
    <w:p>
      <w:r>
        <w:t xml:space="preserve">Services: googleapis</w:t>
      </w:r>
    </w:p>
    <w:p>
      <w:r>
        <w:t xml:space="preserve">Data processed: user data via Google APIs, calendar data, email data, profile information</w:t>
      </w:r>
    </w:p>
    <w:p>
      <w:r>
        <w:t xml:space="preserve">Lawful basis: Legitimate interest (Art. 6(1)(f))</w:t>
      </w:r>
    </w:p>
    <w:p>
      <w:r>
        <w:t xml:space="preserve">Reasoning:</w:t>
      </w:r>
    </w:p>
    <w:p>
      <w:r>
        <w:t xml:space="preserve">Processing serves the legitimate interest of providing and improving the service.</w:t>
      </w:r>
    </w:p>
    <w:p>
      <w:pPr>
        <w:ind w:left="720"/>
      </w:pPr>
      <w:r>
        <w:rPr>
          <w:i/>
          <w:color w:val="666666"/>
        </w:rPr>
        <w:t xml:space="preserve">A Legitimate Interest Assessment (LIA) is recommended for this processing activity. See Section 4 below.</w:t>
      </w:r>
    </w:p>
    <w:p>
      <w:pPr>
        <w:pStyle w:val="Heading3"/>
      </w:pPr>
      <w:r>
        <w:t>3.4. Data Storage</w:t>
      </w:r>
    </w:p>
    <w:p>
      <w:r>
        <w:t xml:space="preserve">Services: ioredis, prisma, redis</w:t>
      </w:r>
    </w:p>
    <w:p>
      <w:r>
        <w:t xml:space="preserve">Data processed: cached data, session data, user data as defined in schema</w:t>
      </w:r>
    </w:p>
    <w:p>
      <w:r>
        <w:t xml:space="preserve">Lawful basis: Contract performance (Art. 6(1)(b))</w:t>
      </w:r>
    </w:p>
    <w:p>
      <w:r>
        <w:t xml:space="preserve">Reasoning:</w:t>
      </w:r>
    </w:p>
    <w:p>
      <w:r>
        <w:t xml:space="preserve">Database storage of user data is necessary to operate the service the user has agreed to use. Without persistent data storage, the service cannot function. Data stored is directly provided by or generated for the user as part of normal service operation.</w:t>
      </w:r>
    </w:p>
    <w:p>
      <w:pPr>
        <w:pStyle w:val="Heading3"/>
      </w:pPr>
      <w:r>
        <w:t>3.5. User Authentication</w:t>
      </w:r>
    </w:p>
    <w:p>
      <w:r>
        <w:t xml:space="preserve">Services: next-auth</w:t>
      </w:r>
    </w:p>
    <w:p>
      <w:r>
        <w:t xml:space="preserve">Data processed: email, name, profile picture, OAuth tokens, session data</w:t>
      </w:r>
    </w:p>
    <w:p>
      <w:r>
        <w:t xml:space="preserve">Lawful basis: Contract performance (Art. 6(1)(b))</w:t>
      </w:r>
    </w:p>
    <w:p>
      <w:r>
        <w:t xml:space="preserve">Reasoning:</w:t>
      </w:r>
    </w:p>
    <w:p>
      <w:r>
        <w:t xml:space="preserve">User authentication is necessary for the performance of the contract between the data controller and the data subject. Without processing login credentials and session data, the service cannot identify the user or provide access to their account. This processing is directly linked to the service the user has agreed to use.</w:t>
      </w:r>
    </w:p>
    <w:p>
      <w:pPr>
        <w:pStyle w:val="Heading3"/>
      </w:pPr>
      <w:r>
        <w:t>3.6. Email Communications</w:t>
      </w:r>
    </w:p>
    <w:p>
      <w:r>
        <w:t xml:space="preserve">Services: nodemailer</w:t>
      </w:r>
    </w:p>
    <w:p>
      <w:r>
        <w:t xml:space="preserve">Data processed: email addresses, email content</w:t>
      </w:r>
    </w:p>
    <w:p>
      <w:r>
        <w:t xml:space="preserve">Lawful basis: Legitimate interest / Consent (Art. 6(1)(f) / Art. 6(1)(a))</w:t>
      </w:r>
    </w:p>
    <w:p>
      <w:r>
        <w:t xml:space="preserve">Reasoning:</w:t>
      </w:r>
    </w:p>
    <w:p>
      <w:r>
        <w:t xml:space="preserve">Transactional emails (order confirmations, password resets, security alerts) are processed under legitimate interest — the data subject reasonably expects these communications as part of the service. Marketing emails require explicit consent under both GDPR and the ePrivacy Directive.</w:t>
      </w:r>
    </w:p>
    <w:p>
      <w:pPr>
        <w:ind w:left="720"/>
      </w:pPr>
      <w:r>
        <w:rPr>
          <w:i/>
          <w:color w:val="666666"/>
        </w:rPr>
        <w:t xml:space="preserve">A Legitimate Interest Assessment (LIA) is recommended for this processing activity. See Section 4 below.</w:t>
      </w:r>
    </w:p>
    <w:p>
      <w:pPr>
        <w:pStyle w:val="Heading3"/>
      </w:pPr>
      <w:r>
        <w:t>3.7. Usage Analytics</w:t>
      </w:r>
    </w:p>
    <w:p>
      <w:r>
        <w:t xml:space="preserve">Services: posthog</w:t>
      </w:r>
    </w:p>
    <w:p>
      <w:r>
        <w:t xml:space="preserve">Data processed: user behavior, session recordings, feature flag usage, device information</w:t>
      </w:r>
    </w:p>
    <w:p>
      <w:r>
        <w:t xml:space="preserve">Lawful basis: Consent / Legitimate interest (Art. 6(1)(a) / Art. 6(1)(f))</w:t>
      </w:r>
    </w:p>
    <w:p>
      <w:r>
        <w:t xml:space="preserve">Reasoning:</w:t>
      </w:r>
    </w:p>
    <w:p>
      <w:r>
        <w:t xml:space="preserve">Analytics processing may rely on consent (obtained via cookie banner) for tracking technologies that are not strictly necessary. Alternatively, aggregated and anonymized analytics may be processed under legitimate interest for product improvement. A Legitimate Interest Assessment should be conducted to document the balancing test if Art. 6(1)(f) is used.</w:t>
      </w:r>
    </w:p>
    <w:p>
      <w:pPr>
        <w:ind w:left="720"/>
      </w:pPr>
      <w:r>
        <w:rPr>
          <w:i/>
          <w:color w:val="666666"/>
        </w:rPr>
        <w:t xml:space="preserve">A Legitimate Interest Assessment (LIA) is recommended for this processing activity. See Section 4 below.</w:t>
      </w:r>
    </w:p>
    <w:p>
      <w:pPr>
        <w:pStyle w:val="Heading3"/>
      </w:pPr>
      <w:r>
        <w:t>3.8. Payment Processing</w:t>
      </w:r>
    </w:p>
    <w:p>
      <w:r>
        <w:t xml:space="preserve">Services: stripe</w:t>
      </w:r>
    </w:p>
    <w:p>
      <w:r>
        <w:t xml:space="preserve">Data processed: payment information, billing address, email, transaction history</w:t>
      </w:r>
    </w:p>
    <w:p>
      <w:r>
        <w:t xml:space="preserve">Lawful basis: Contract performance / Legal obligation (Art. 6(1)(b) / Art. 6(1)(c))</w:t>
      </w:r>
    </w:p>
    <w:p>
      <w:r>
        <w:t xml:space="preserve">Reasoning:</w:t>
      </w:r>
    </w:p>
    <w:p>
      <w:r>
        <w:t xml:space="preserve">Payment processing is necessary to fulfill the contractual obligation of delivering paid services or goods. Additionally, retention of transaction records is required under tax and accounting regulations (legal obligation). Payment card data is tokenized and processed by PCI DSS-compliant processors, minimizing the controller's exposure.</w:t>
      </w:r>
    </w:p>
    <w:p>
      <w:pPr>
        <w:pStyle w:val="Heading2"/>
      </w:pPr>
      <w:r>
        <w:t>4. Legitimate Interest Assessments (LIA)</w:t>
      </w:r>
    </w:p>
    <w:p>
      <w:r>
        <w:t xml:space="preserve">Under GDPR Art. 6(1)(f), processing based on legitimate interest requires a three-part test. The following assessments should be completed for each processing activity relying on this basis.</w:t>
      </w:r>
    </w:p>
    <w:p>
      <w:pPr>
        <w:pStyle w:val="Heading3"/>
      </w:pPr>
      <w:r>
        <w:t>4.1. LIA: Error Monitoring</w:t>
      </w:r>
    </w:p>
    <w:p>
      <w:pPr>
        <w:pStyle w:val="Heading4"/>
      </w:pPr>
      <w:r>
        <w:t>Part 1: Purpose Test — Identify the legitimate interest</w:t>
      </w:r>
    </w:p>
    <w:p>
      <w:r>
        <w:rPr>
          <w:sz w:val="20"/>
        </w:rPr>
        <w:t xml:space="preserve">Question  |  Answer</w:t>
      </w:r>
    </w:p>
    <w:p>
      <w:r>
        <w:rPr>
          <w:sz w:val="20"/>
        </w:rPr>
        <w:t xml:space="preserve">What is the purpose of the processing?  |  Detecting and resolving application errors, maintaining service reliability, and ensuring security</w:t>
      </w:r>
    </w:p>
    <w:p>
      <w:r>
        <w:rPr>
          <w:sz w:val="20"/>
        </w:rPr>
        <w:t xml:space="preserve">Is there a genuine need for this processing?  |  [Yes/No — provide justification]</w:t>
      </w:r>
    </w:p>
    <w:p>
      <w:r>
        <w:rPr>
          <w:sz w:val="20"/>
        </w:rPr>
        <w:t xml:space="preserve">Who benefits from the processing?  |  Both the controller (service reliability) and data subjects (stable, secure service)</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Error monitoring is essential for service reliability. Consider minimizing personal data in error reports (e.g., redacting email addresses from stack traces).</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Technical data (stack traces, device info) with incidental personal data (IP addresses)</w:t>
      </w:r>
    </w:p>
    <w:p>
      <w:r>
        <w:rPr>
          <w:sz w:val="20"/>
        </w:rPr>
        <w:t xml:space="preserve">Reasonable expectations of the data subject  |  Users reasonably expect that a software service monitors for errors and maintains security</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Limited — error monitoring is essential for service operation; users can request data deletion</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4.2. LIA: other</w:t>
      </w:r>
    </w:p>
    <w:p>
      <w:pPr>
        <w:pStyle w:val="Heading4"/>
      </w:pPr>
      <w:r>
        <w:t>Part 1: Purpose Test — Identify the legitimate interest</w:t>
      </w:r>
    </w:p>
    <w:p>
      <w:r>
        <w:rPr>
          <w:sz w:val="20"/>
        </w:rPr>
        <w:t xml:space="preserve">Question  |  Answer</w:t>
      </w:r>
    </w:p>
    <w:p>
      <w:r>
        <w:rPr>
          <w:sz w:val="20"/>
        </w:rPr>
        <w:t xml:space="preserve">What is the purpose of the processing?  |  Supporting service operations and improvement</w:t>
      </w:r>
    </w:p>
    <w:p>
      <w:r>
        <w:rPr>
          <w:sz w:val="20"/>
        </w:rPr>
        <w:t xml:space="preserve">Is there a genuine need for this processing?  |  [Yes/No — provide justification]</w:t>
      </w:r>
    </w:p>
    <w:p>
      <w:r>
        <w:rPr>
          <w:sz w:val="20"/>
        </w:rPr>
        <w:t xml:space="preserve">Who benefits from the processing?  |  Both the controller and data subjects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[Assess whether less intrusive alternatives exist]</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Standard personal data — not special category</w:t>
      </w:r>
    </w:p>
    <w:p>
      <w:r>
        <w:rPr>
          <w:sz w:val="20"/>
        </w:rPr>
        <w:t xml:space="preserve">Reasonable expectations of the data subject  |  [Assess data subject expectations]</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[Describe opt-out mechanism]</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4.3. LIA: Email Communications</w:t>
      </w:r>
    </w:p>
    <w:p>
      <w:pPr>
        <w:pStyle w:val="Heading4"/>
      </w:pPr>
      <w:r>
        <w:t>Part 1: Purpose Test — Identify the legitimate interest</w:t>
      </w:r>
    </w:p>
    <w:p>
      <w:r>
        <w:rPr>
          <w:sz w:val="20"/>
        </w:rPr>
        <w:t xml:space="preserve">Question  |  Answer</w:t>
      </w:r>
    </w:p>
    <w:p>
      <w:r>
        <w:rPr>
          <w:sz w:val="20"/>
        </w:rPr>
        <w:t xml:space="preserve">What is the purpose of the processing?  |  Sending transactional communications (order confirmations, security alerts, password resets) that users expect as part of the service</w:t>
      </w:r>
    </w:p>
    <w:p>
      <w:r>
        <w:rPr>
          <w:sz w:val="20"/>
        </w:rPr>
        <w:t xml:space="preserve">Is there a genuine need for this processing?  |  [Yes/No — provide justification]</w:t>
      </w:r>
    </w:p>
    <w:p>
      <w:r>
        <w:rPr>
          <w:sz w:val="20"/>
        </w:rPr>
        <w:t xml:space="preserve">Who benefits from the processing?  |  Both the controller (operational communication) and data subjects (receiving expected notifications)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Transactional emails are the least intrusive way to deliver service-critical information. Alternative channels (SMS, push) may be more intrusive.</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Email addresses and communication records — standard personal data</w:t>
      </w:r>
    </w:p>
    <w:p>
      <w:r>
        <w:rPr>
          <w:sz w:val="20"/>
        </w:rPr>
        <w:t xml:space="preserve">Reasonable expectations of the data subject  |  Users reasonably expect to receive transactional emails related to their use of the service</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Yes — unsubscribe link in every email (marketing); transactional emails cannot be opted out of while using the service</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4.4. LIA: Usage Analytics</w:t>
      </w:r>
    </w:p>
    <w:p>
      <w:pPr>
        <w:pStyle w:val="Heading4"/>
      </w:pPr>
      <w:r>
        <w:t>Part 1: Purpose Test — Identify the legitimate interest</w:t>
      </w:r>
    </w:p>
    <w:p>
      <w:r>
        <w:rPr>
          <w:sz w:val="20"/>
        </w:rPr>
        <w:t xml:space="preserve">Question  |  Answer</w:t>
      </w:r>
    </w:p>
    <w:p>
      <w:r>
        <w:rPr>
          <w:sz w:val="20"/>
        </w:rPr>
        <w:t xml:space="preserve">What is the purpose of the processing?  |  Product improvement, understanding user behavior, optimizing user experience, and measuring feature adoption</w:t>
      </w:r>
    </w:p>
    <w:p>
      <w:r>
        <w:rPr>
          <w:sz w:val="20"/>
        </w:rPr>
        <w:t xml:space="preserve">Is there a genuine need for this processing?  |  [Yes/No — provide justification]</w:t>
      </w:r>
    </w:p>
    <w:p>
      <w:r>
        <w:rPr>
          <w:sz w:val="20"/>
        </w:rPr>
        <w:t xml:space="preserve">Who benefits from the processing?  |  Both the controller (product insights) and data subjects (improved user experience)</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Consider whether fully anonymized analytics could serve the same purpose. If not, ensure data minimization and pseudonymization are applied.</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Pseudonymized behavioral data — not special category data</w:t>
      </w:r>
    </w:p>
    <w:p>
      <w:r>
        <w:rPr>
          <w:sz w:val="20"/>
        </w:rPr>
        <w:t xml:space="preserve">Reasonable expectations of the data subject  |  Users generally expect websites to track usage for improvement, though expectations vary by audience. Transparency is key.</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Yes — via cookie preferences and account settings</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2"/>
      </w:pPr>
      <w:r>
        <w:t>5. Consent Management Requirements</w:t>
      </w:r>
    </w:p>
    <w:p>
      <w:r>
        <w:t xml:space="preserve">The following processing activities rely (fully or partially) on consent:</w:t>
      </w:r>
    </w:p>
    <w:p>
      <w:pPr>
        <w:pStyle w:val="Heading3"/>
      </w:pPr>
      <w:r>
        <w:t>Email Communications</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3"/>
      </w:pPr>
      <w:r>
        <w:t>Usage Analytics</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2"/>
      </w:pPr>
      <w:r>
        <w:t>6. Review Schedule</w:t>
      </w:r>
    </w:p>
    <w:p>
      <w:r>
        <w:t xml:space="preserve">This assessment must be reviewed:</w:t>
      </w:r>
    </w:p>
    <w:p>
      <w:pPr>
        <w:pStyle w:val="ListParagraph"/>
        <w:numPr>
          <w:ilvl w:val="0"/>
          <w:numId w:val="1"/>
        </w:numPr>
      </w:pPr>
      <w:r>
        <w:t xml:space="preserve">**Annually** — Full review of all lawful basis determinations</w:t>
      </w:r>
    </w:p>
    <w:p>
      <w:pPr>
        <w:pStyle w:val="ListParagraph"/>
        <w:numPr>
          <w:ilvl w:val="0"/>
          <w:numId w:val="1"/>
        </w:numPr>
      </w:pPr>
      <w:r>
        <w:t xml:space="preserve">**On change** — When new processing activities are introduced</w:t>
      </w:r>
    </w:p>
    <w:p>
      <w:pPr>
        <w:pStyle w:val="ListParagraph"/>
        <w:numPr>
          <w:ilvl w:val="0"/>
          <w:numId w:val="1"/>
        </w:numPr>
      </w:pPr>
      <w:r>
        <w:t xml:space="preserve">**On regulatory update** — When relevant guidance changes</w:t>
      </w:r>
    </w:p>
    <w:p>
      <w:pPr>
        <w:pStyle w:val="ListParagraph"/>
        <w:numPr>
          <w:ilvl w:val="0"/>
          <w:numId w:val="1"/>
        </w:numPr>
      </w:pPr>
      <w:r>
        <w:t xml:space="preserve">**On complaint** — Following any data subject complaint about processing</w:t>
      </w:r>
    </w:p>
    <w:p>
      <w:pPr>
        <w:pStyle w:val="Heading2"/>
      </w:pPr>
      <w:r>
        <w:t>Review Notes</w:t>
      </w:r>
    </w:p>
    <w:p>
      <w:pPr>
        <w:pStyle w:val="Heading3"/>
      </w:pPr>
      <w:r>
        <w:t>What a lawyer should check</w:t>
      </w:r>
    </w:p>
    <w:p>
      <w:pPr>
        <w:pStyle w:val="ListParagraph"/>
        <w:numPr>
          <w:ilvl w:val="0"/>
          <w:numId w:val="1"/>
        </w:numPr>
      </w:pPr>
      <w:r>
        <w:t xml:space="preserve">Validate each lawful basis selection against the specific processing context</w:t>
      </w:r>
    </w:p>
    <w:p>
      <w:pPr>
        <w:pStyle w:val="ListParagraph"/>
        <w:numPr>
          <w:ilvl w:val="0"/>
          <w:numId w:val="1"/>
        </w:numPr>
      </w:pPr>
      <w:r>
        <w:t xml:space="preserve">Complete all LIA templates with specific factual assessments</w:t>
      </w:r>
    </w:p>
    <w:p>
      <w:pPr>
        <w:pStyle w:val="ListParagraph"/>
        <w:numPr>
          <w:ilvl w:val="0"/>
          <w:numId w:val="1"/>
        </w:numPr>
      </w:pPr>
      <w:r>
        <w:t xml:space="preserve">Verify consent mechanisms meet GDPR requirements</w:t>
      </w:r>
    </w:p>
    <w:p>
      <w:pPr>
        <w:pStyle w:val="ListParagraph"/>
        <w:numPr>
          <w:ilvl w:val="0"/>
          <w:numId w:val="1"/>
        </w:numPr>
      </w:pPr>
      <w:r>
        <w:t xml:space="preserve">Confirm Art. 6(1)(b) claims are truly necessary for contract performance</w:t>
      </w:r>
    </w:p>
    <w:p>
      <w:pPr>
        <w:pStyle w:val="ListParagraph"/>
        <w:numPr>
          <w:ilvl w:val="0"/>
          <w:numId w:val="1"/>
        </w:numPr>
      </w:pPr>
      <w:r>
        <w:t xml:space="preserve">Review whether any processing requires a DPIA under Art. 35</w:t>
      </w:r>
    </w:p>
    <w:p>
      <w:pPr>
        <w:pStyle w:val="Heading3"/>
      </w:pPr>
      <w:r>
        <w:t>Auto-generated vs. needs human input</w:t>
      </w:r>
    </w:p>
    <w:p>
      <w:r>
        <w:rPr>
          <w:sz w:val="20"/>
        </w:rPr>
        <w:t xml:space="preserve">Section  |  Status  |  Confidence</w:t>
      </w:r>
    </w:p>
    <w:p>
      <w:r>
        <w:rPr>
          <w:sz w:val="20"/>
        </w:rPr>
        <w:t xml:space="preserve">Processing activities list  |  Auto-detected from code  |  High</w:t>
      </w:r>
    </w:p>
    <w:p>
      <w:r>
        <w:rPr>
          <w:sz w:val="20"/>
        </w:rPr>
        <w:t xml:space="preserve">Lawful basis selection  |  Auto-assigned defaults  |  Low — requires legal validation</w:t>
      </w:r>
    </w:p>
    <w:p>
      <w:r>
        <w:rPr>
          <w:sz w:val="20"/>
        </w:rPr>
        <w:t xml:space="preserve">Detailed reasoning  |  Template reasoning  |  Medium — needs context-specific review</w:t>
      </w:r>
    </w:p>
    <w:p>
      <w:r>
        <w:rPr>
          <w:sz w:val="20"/>
        </w:rPr>
        <w:t xml:space="preserve">LIA templates  |  Structure only — needs completion  |  Low</w:t>
      </w:r>
    </w:p>
    <w:p>
      <w:r>
        <w:rPr>
          <w:sz w:val="20"/>
        </w:rPr>
        <w:t xml:space="preserve">Consent requirements  |  Checklist only  |  Medium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Privacy Impact Assessment (`PRIVACY_IMPACT_ASSESSMENT.md`)</w:t>
      </w:r>
    </w:p>
    <w:p>
      <w:pPr>
        <w:pStyle w:val="ListParagraph"/>
        <w:numPr>
          <w:ilvl w:val="0"/>
          <w:numId w:val="1"/>
        </w:numPr>
      </w:pPr>
      <w:r>
        <w:t xml:space="preserve">Consent Management Guide (`CONSENT_MANAGEMENT_GUIDE.md`)</w:t>
      </w:r>
    </w:p>
    <w:p>
      <w:pPr>
        <w:pBdr>
          <w:bottom w:val="single" w:sz="6" w:space="1" w:color="999999"/>
        </w:pBdr>
      </w:pPr>
    </w:p>
    <w:p>
      <w:r>
        <w:t xml:space="preserve">This Lawful Basis Assessment was auto-generated by [Codepliant](https://github.com/joechensmartz/codepliant) based on code analysis. Lawful basis determinations are preliminary and must be reviewed by qualified legal counsel. All LIA templates must be completed with specific factual assessments before relying on legitimate interest.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