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formbricks</w:t>
      </w:r>
    </w:p>
    <w:p>
      <w:r>
        <w:t xml:space="preserve">Organization: [Your Company Name]</w:t>
      </w:r>
    </w:p>
    <w:p>
      <w:r>
        <w:t xml:space="preserve">Privacy contact: [your-email@example.com]</w:t>
      </w:r>
    </w:p>
    <w:p>
      <w:r>
        <w:t xml:space="preserve">DPO: [DPO Name] ([dpo@example.com])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[Your Company Name]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10 third-party services across 8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Consent Management Metrics</w:t>
      </w:r>
    </w:p>
    <w:p>
      <w:pPr>
        <w:pStyle w:val="Heading3"/>
      </w:pPr>
      <w:r>
        <w:t>Monthly Consent Tracking — 2026</w:t>
      </w:r>
    </w:p>
    <w:p>
      <w:r>
        <w:rPr>
          <w:sz w:val="20"/>
        </w:rPr>
        <w:t xml:space="preserve">Month  |  Total Users  |  Consented  |  Declined  |  Withdrawn  |  Opt-in Rate  |  Withdrawal Rate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Avg**  |  ___  |  ___  |  ___  |  ___  |  ___%  |  ___%</w:t>
      </w:r>
    </w:p>
    <w:p>
      <w:pPr>
        <w:pStyle w:val="Heading3"/>
      </w:pPr>
      <w:r>
        <w:t>Consent by Purpose</w:t>
      </w:r>
    </w:p>
    <w:p>
      <w:r>
        <w:rPr>
          <w:sz w:val="20"/>
        </w:rPr>
        <w:t xml:space="preserve">Purpose  |  Opt-in Rate  |  Target</w:t>
      </w:r>
    </w:p>
    <w:p>
      <w:r>
        <w:rPr>
          <w:sz w:val="20"/>
        </w:rPr>
        <w:t xml:space="preserve">Essential / Strictly Necessary  |  N/A (required)  |  N/A</w:t>
      </w:r>
    </w:p>
    <w:p>
      <w:r>
        <w:rPr>
          <w:sz w:val="20"/>
        </w:rPr>
        <w:t xml:space="preserve">Analytics &amp; Performance  |  ___%  |  &gt; 60%</w:t>
      </w:r>
    </w:p>
    <w:p>
      <w:r>
        <w:rPr>
          <w:sz w:val="20"/>
        </w:rPr>
        <w:t xml:space="preserve">Marketing &amp; Advertising  |  ___%  |  &gt; 40%</w:t>
      </w:r>
    </w:p>
    <w:p>
      <w:r>
        <w:rPr>
          <w:sz w:val="20"/>
        </w:rPr>
        <w:t xml:space="preserve">Personalization  |  ___%  |  &gt; 50%</w:t>
      </w:r>
    </w:p>
    <w:p>
      <w:r>
        <w:rPr>
          <w:sz w:val="20"/>
        </w:rPr>
        <w:t xml:space="preserve">Third-party Sharing  |  ___%  |  &gt; 30%</w:t>
      </w:r>
    </w:p>
    <w:p>
      <w:pPr>
        <w:pBdr>
          <w:bottom w:val="single" w:sz="6" w:space="1" w:color="999999"/>
        </w:pBdr>
      </w:pPr>
    </w:p>
    <w:p>
      <w:pPr>
        <w:pStyle w:val="Heading2"/>
      </w:pPr>
      <w:r>
        <w:t>3.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4.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5. Vendor Compliance Metrics</w:t>
      </w:r>
    </w:p>
    <w:p>
      <w:pPr>
        <w:pStyle w:val="Heading3"/>
      </w:pPr>
      <w:r>
        <w:t>Vendor DPA Status</w:t>
      </w:r>
    </w:p>
    <w:p>
      <w:r>
        <w:rPr>
          <w:sz w:val="20"/>
        </w:rPr>
        <w:t xml:space="preserve">Metric  |  Count  |  Percentage  |  Target</w:t>
      </w:r>
    </w:p>
    <w:p>
      <w:r>
        <w:rPr>
          <w:sz w:val="20"/>
        </w:rPr>
        <w:t xml:space="preserve">Total vendors detected  |  10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6.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