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17 / 23 items covered (74%)</w:t>
      </w:r>
    </w:p>
    <w:p>
      <w:r>
        <w:t xml:space="preserve">###############_ 74%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**No**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AI / Automated Decision-Making Disclosure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AI usage, automated decisions, and user opt-out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22, EU AI Act</w:t>
      </w:r>
    </w:p>
    <w:p>
      <w:pPr>
        <w:pStyle w:val="ListParagraph"/>
        <w:numPr>
          <w:ilvl w:val="0"/>
          <w:numId w:val="1"/>
        </w:numPr>
      </w:pPr>
      <w:r>
        <w:t xml:space="preserve">**Industry examples:** Notion, Linear, Vercel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AI services are detected.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**AI / Automated Decision-Making Disclosure** (GDPR Art. 22, EU AI Act)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