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**Log Owner:** [Compliance Officer Name]  </w:t>
      </w:r>
    </w:p>
    <w:p>
      <w:pPr>
        <w:ind w:left="720"/>
      </w:pPr>
      <w:r>
        <w:rPr>
          <w:i/>
          <w:color w:val="666666"/>
        </w:rPr>
        <w:t xml:space="preserve">**Contact:** [your-email@example.com]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Review:** 2026-06-16  </w:t>
      </w:r>
    </w:p>
    <w:p>
      <w:pPr>
        <w:ind w:left="720"/>
      </w:pPr>
      <w:r>
        <w:rPr>
          <w:i/>
          <w:color w:val="666666"/>
        </w:rPr>
        <w:t xml:space="preserve">**Services in Scope:** 22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20</w:t>
      </w:r>
    </w:p>
    <w:p>
      <w:r>
        <w:rPr>
          <w:sz w:val="20"/>
        </w:rPr>
        <w:t xml:space="preserve">Evidence Collected  |  12</w:t>
      </w:r>
    </w:p>
    <w:p>
      <w:r>
        <w:rPr>
          <w:sz w:val="20"/>
        </w:rPr>
        <w:t xml:space="preserve">Evidence Pending  |  8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60%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[Compliance Officer Name]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[Compliance Officer Name]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[Compliance Officer Name]</w:t>
      </w:r>
    </w:p>
    <w:p>
      <w:r>
        <w:rPr>
          <w:sz w:val="20"/>
        </w:rPr>
        <w:t xml:space="preserve">CC3.1  |  Risk Assessment Process  |  Document  |  Risk register covering 22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22 detected service(s) and third-party risk assessments  |  legal/RISK_REGISTER.md, legal/THIRD_PARTY_RISK_ASSESSMENT.md  |  Collected  |  [Compliance Officer Name]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[Compliance Officer Name]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[Compliance Officer Name]</w:t>
      </w:r>
    </w:p>
    <w:p>
      <w:r>
        <w:rPr>
          <w:sz w:val="20"/>
        </w:rPr>
        <w:t xml:space="preserve">CC6.2  |  Infrastructure Access  |  Configuration  |  Cloud infrastructure access controls and MFA configuration  |  Cloud provider console, legal/SECURITY.md  |  Pending  |  [Compliance Officer Name]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[Compliance Officer Name]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[Compliance Officer Name]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[Compliance Officer Name]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[Compliance Officer Name]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[Compliance Officer Name]</w:t>
      </w:r>
    </w:p>
    <w:p>
      <w:r>
        <w:rPr>
          <w:sz w:val="20"/>
        </w:rPr>
        <w:t xml:space="preserve">A.8.1  |  Asset Inventory  |  Document  |  Inventory of 22 detected service(s) including data classification  |  legal/DATA_DICTIONARY.md, legal/DATA_FLOW_MAP.md  |  Collected  |  [Compliance Officer Name]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[Compliance Officer Name]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Pending  |  [Compliance Officer Name]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[Compliance Officer Name]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[Compliance Officer Name]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[Compliance Officer Name]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[Compliance Officer Name]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[Compliance Officer Name]  |  Every Monday</w:t>
      </w:r>
    </w:p>
    <w:p>
      <w:r>
        <w:rPr>
          <w:sz w:val="20"/>
        </w:rPr>
        <w:t xml:space="preserve">Monthly  |  Update vulnerability scan results  |  [Compliance Officer Name]  |  1st of month</w:t>
      </w:r>
    </w:p>
    <w:p>
      <w:r>
        <w:rPr>
          <w:sz w:val="20"/>
        </w:rPr>
        <w:t xml:space="preserve">Monthly  |  Review change management records  |  [Compliance Officer Name]  |  1st of month</w:t>
      </w:r>
    </w:p>
    <w:p>
      <w:r>
        <w:rPr>
          <w:sz w:val="20"/>
        </w:rPr>
        <w:t xml:space="preserve">Quarterly  |  Full evidence collection review  |  [Compliance Officer Name]  |  2026-06-16</w:t>
      </w:r>
    </w:p>
    <w:p>
      <w:r>
        <w:rPr>
          <w:sz w:val="20"/>
        </w:rPr>
        <w:t xml:space="preserve">Quarterly  |  Vendor/supplier compliance check  |  [Compliance Officer Name]  |  2026-06-16</w:t>
      </w:r>
    </w:p>
    <w:p>
      <w:r>
        <w:rPr>
          <w:sz w:val="20"/>
        </w:rPr>
        <w:t xml:space="preserve">Annually  |  Complete re-assessment of all controls  |  [Compliance Officer Name]  |  2026-03-16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address, WebSocket messages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