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Gap Analysis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Compares current compliance state (from code analysis) against regulatory target state.</w:t>
      </w:r>
    </w:p>
    <w:p>
      <w:pPr>
        <w:ind w:left="720"/>
      </w:pPr>
      <w:r>
        <w:rPr>
          <w:i/>
          <w:color w:val="666666"/>
        </w:rPr>
        <w:t xml:space="preserve">This analysis should be validated by qualified legal and compliance professionals.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Total Gaps Identified  |  **8**</w:t>
      </w:r>
    </w:p>
    <w:p>
      <w:r>
        <w:rPr>
          <w:sz w:val="20"/>
        </w:rPr>
        <w:t xml:space="preserve">Critical Gaps  |  **2**</w:t>
      </w:r>
    </w:p>
    <w:p>
      <w:r>
        <w:rPr>
          <w:sz w:val="20"/>
        </w:rPr>
        <w:t xml:space="preserve">High Priority Gaps  |  **5**</w:t>
      </w:r>
    </w:p>
    <w:p>
      <w:r>
        <w:rPr>
          <w:sz w:val="20"/>
        </w:rPr>
        <w:t xml:space="preserve">Medium Priority Gaps  |  **1**</w:t>
      </w:r>
    </w:p>
    <w:p>
      <w:r>
        <w:rPr>
          <w:sz w:val="20"/>
        </w:rPr>
        <w:t xml:space="preserve">Services Analyzed  |  22</w:t>
      </w:r>
    </w:p>
    <w:p>
      <w:r>
        <w:rPr>
          <w:sz w:val="20"/>
        </w:rPr>
        <w:t xml:space="preserve">Regulations Covered  |  GDPR, SOC 2</w:t>
      </w:r>
    </w:p>
    <w:p>
      <w:pPr>
        <w:pStyle w:val="Heading2"/>
      </w:pPr>
      <w:r>
        <w:t>Gap Analysis Table</w:t>
      </w:r>
    </w:p>
    <w:p>
      <w:r>
        <w:rPr>
          <w:sz w:val="20"/>
        </w:rPr>
        <w:t xml:space="preserve">Requirement  |  Current State  |  Target State  |  Gap  |  Priority  |  Effort</w:t>
      </w:r>
    </w:p>
    <w:p>
      <w:r>
        <w:rPr>
          <w:sz w:val="20"/>
        </w:rPr>
        <w:t xml:space="preserve">Data Protection Impact Assessment (Art. 35)  |  Large-scale data processing detected  |  Completed DPIA for all high-risk processing activities  |  Conduct formal DPIA with risk assessment and DPO consultation  |  🔴 Critical  |  High</w:t>
      </w:r>
    </w:p>
    <w:p>
      <w:r>
        <w:rPr>
          <w:sz w:val="20"/>
        </w:rPr>
        <w:t xml:space="preserve">Breach Notification (Art. 33/34)  |  Incident response plan generated  |  72-hour breach notification procedure tested and operational  |  Conduct tabletop exercise; establish supervisory authority contact procedure  |  🔴 Critical  |  Medium</w:t>
      </w:r>
    </w:p>
    <w:p>
      <w:r>
        <w:rPr>
          <w:sz w:val="20"/>
        </w:rPr>
        <w:t xml:space="preserve">Privacy Notice (Art. 13/14)  |  Privacy Policy generated from code scan  |  Complete privacy notice published on website, covering all data processing activities  |  Review placeholders and publish to website  |  🟠 High  |  Low</w:t>
      </w:r>
    </w:p>
    <w:p>
      <w:r>
        <w:rPr>
          <w:sz w:val="20"/>
        </w:rPr>
        <w:t xml:space="preserve">Record of Processing Activities (Art. 30)  |  22 services detected via code scan  |  Complete ROPA covering all processing activities with lawful bases  |  Review auto-generated ROPA; add manual processing activities not captured by code scan  |  🟠 High  |  Medium</w:t>
      </w:r>
    </w:p>
    <w:p>
      <w:r>
        <w:rPr>
          <w:sz w:val="20"/>
        </w:rPr>
        <w:t xml:space="preserve">Data Protection Officer (Art. 37)  |  No DPO configured  |  DPO appointed and registered with supervisory authority  |  Appoint DPO or document exemption rationale  |  🟠 High  |  Medium</w:t>
      </w:r>
    </w:p>
    <w:p>
      <w:r>
        <w:rPr>
          <w:sz w:val="20"/>
        </w:rPr>
        <w:t xml:space="preserve">Right to Erasure (Art. 17)  |  Data deletion procedures documented  |  Automated data deletion across all services with verification  |  Implement automated deletion workflows; verify completeness across sub-processors  |  🟠 High  |  High</w:t>
      </w:r>
    </w:p>
    <w:p>
      <w:r>
        <w:rPr>
          <w:sz w:val="20"/>
        </w:rPr>
        <w:t xml:space="preserve">Processor Agreements (Art. 28)  |  22 third-party services detected  |  Signed DPAs with all sub-processors; annual review process  |  Obtain signed DPAs from all 22 detected sub-processors  |  🟠 High  |  Medium</w:t>
      </w:r>
    </w:p>
    <w:p>
      <w:r>
        <w:rPr>
          <w:sz w:val="20"/>
        </w:rPr>
        <w:t xml:space="preserve">SOC 2 Type II Audit Readiness  |  Security and access control policies generated  |  SOC 2 Type II audit completed; evidence collection automated  |  Map controls to Trust Service Criteria; begin 6-month evidence collection period  |  🟡 Medium  |  High</w:t>
      </w:r>
    </w:p>
    <w:p>
      <w:pPr>
        <w:pStyle w:val="Heading2"/>
      </w:pPr>
      <w:r>
        <w:t>Per-Regulation Breakdown</w:t>
      </w:r>
    </w:p>
    <w:p>
      <w:pPr>
        <w:pStyle w:val="Heading3"/>
      </w:pPr>
      <w:r>
        <w:t>GDPR</w:t>
      </w:r>
    </w:p>
    <w:p>
      <w:r>
        <w:t xml:space="preserve">7 gaps identified (2 critical, 5 high)</w:t>
      </w:r>
    </w:p>
    <w:p>
      <w:pPr>
        <w:pStyle w:val="ListParagraph"/>
        <w:numPr>
          <w:ilvl w:val="0"/>
          <w:numId w:val="1"/>
        </w:numPr>
      </w:pPr>
      <w:r>
        <w:t xml:space="preserve">🔴 **Data Protection Impact Assessment (Art. 35)**: Conduct formal DPIA with risk assessment and DPO consultation *(Effort: High)*</w:t>
      </w:r>
    </w:p>
    <w:p>
      <w:pPr>
        <w:pStyle w:val="ListParagraph"/>
        <w:numPr>
          <w:ilvl w:val="0"/>
          <w:numId w:val="1"/>
        </w:numPr>
      </w:pPr>
      <w:r>
        <w:t xml:space="preserve">🔴 **Breach Notification (Art. 33/34)**: Conduct tabletop exercise; establish supervisory authority contact procedure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**Privacy Notice (Art. 13/14)**: Review placeholders and publish to website *(Effort: Low)*</w:t>
      </w:r>
    </w:p>
    <w:p>
      <w:pPr>
        <w:pStyle w:val="ListParagraph"/>
        <w:numPr>
          <w:ilvl w:val="0"/>
          <w:numId w:val="1"/>
        </w:numPr>
      </w:pPr>
      <w:r>
        <w:t xml:space="preserve">🟠 **Record of Processing Activities (Art. 30)**: Review auto-generated ROPA; add manual processing activities not captured by code scan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**Data Protection Officer (Art. 37)**: Appoint DPO or document exemption rationale *(Effort: Medium)*</w:t>
      </w:r>
    </w:p>
    <w:p>
      <w:pPr>
        <w:pStyle w:val="ListParagraph"/>
        <w:numPr>
          <w:ilvl w:val="0"/>
          <w:numId w:val="1"/>
        </w:numPr>
      </w:pPr>
      <w:r>
        <w:t xml:space="preserve">🟠 **Right to Erasure (Art. 17)**: Implement automated deletion workflows; verify completeness across sub-processors *(Effort: High)*</w:t>
      </w:r>
    </w:p>
    <w:p>
      <w:pPr>
        <w:pStyle w:val="ListParagraph"/>
        <w:numPr>
          <w:ilvl w:val="0"/>
          <w:numId w:val="1"/>
        </w:numPr>
      </w:pPr>
      <w:r>
        <w:t xml:space="preserve">🟠 **Processor Agreements (Art. 28)**: Obtain signed DPAs from all 22 detected sub-processors *(Effort: Medium)*</w:t>
      </w:r>
    </w:p>
    <w:p>
      <w:pPr>
        <w:pStyle w:val="Heading3"/>
      </w:pPr>
      <w:r>
        <w:t>SOC 2</w:t>
      </w:r>
    </w:p>
    <w:p>
      <w:r>
        <w:t xml:space="preserve">1 gaps identified (0 critical, 0 high)</w:t>
      </w:r>
    </w:p>
    <w:p>
      <w:pPr>
        <w:pStyle w:val="ListParagraph"/>
        <w:numPr>
          <w:ilvl w:val="0"/>
          <w:numId w:val="1"/>
        </w:numPr>
      </w:pPr>
      <w:r>
        <w:t xml:space="preserve">🟡 **SOC 2 Type II Audit Readiness**: Map controls to Trust Service Criteria; begin 6-month evidence collection period *(Effort: High)*</w:t>
      </w:r>
    </w:p>
    <w:p>
      <w:pPr>
        <w:pStyle w:val="Heading2"/>
      </w:pPr>
      <w:r>
        <w:t>Remediation Roadmap</w:t>
      </w:r>
    </w:p>
    <w:p>
      <w:pPr>
        <w:pStyle w:val="Heading3"/>
      </w:pPr>
      <w:r>
        <w:t>Immediate (Week 1) — Critical Gaps</w:t>
      </w:r>
    </w:p>
    <w:p>
      <w:pPr>
        <w:pStyle w:val="ListParagraph"/>
        <w:numPr>
          <w:ilvl w:val="0"/>
          <w:numId w:val="1"/>
        </w:numPr>
      </w:pPr>
      <w:r>
        <w:t xml:space="preserve">[ ] **Data Protection Impact Assessment (Art. 35)** (GDPR): Conduct formal DPIA with risk assessment and DPO consultation</w:t>
      </w:r>
    </w:p>
    <w:p>
      <w:pPr>
        <w:pStyle w:val="ListParagraph"/>
        <w:numPr>
          <w:ilvl w:val="0"/>
          <w:numId w:val="1"/>
        </w:numPr>
      </w:pPr>
      <w:r>
        <w:t xml:space="preserve">[ ] **Breach Notification (Art. 33/34)** (GDPR): Conduct tabletop exercise; establish supervisory authority contact procedure</w:t>
      </w:r>
    </w:p>
    <w:p>
      <w:pPr>
        <w:pStyle w:val="Heading3"/>
      </w:pPr>
      <w:r>
        <w:t>Short-term (Weeks 2-4) — High Priority Gaps</w:t>
      </w:r>
    </w:p>
    <w:p>
      <w:pPr>
        <w:pStyle w:val="ListParagraph"/>
        <w:numPr>
          <w:ilvl w:val="0"/>
          <w:numId w:val="1"/>
        </w:numPr>
      </w:pPr>
      <w:r>
        <w:t xml:space="preserve">[ ] **Privacy Notice (Art. 13/14)** (GDPR): Review placeholders and publish to website</w:t>
      </w:r>
    </w:p>
    <w:p>
      <w:pPr>
        <w:pStyle w:val="ListParagraph"/>
        <w:numPr>
          <w:ilvl w:val="0"/>
          <w:numId w:val="1"/>
        </w:numPr>
      </w:pPr>
      <w:r>
        <w:t xml:space="preserve">[ ] **Record of Processing Activities (Art. 30)** (GDPR): Review auto-generated ROPA; add manual processing activities not captured by code scan</w:t>
      </w:r>
    </w:p>
    <w:p>
      <w:pPr>
        <w:pStyle w:val="ListParagraph"/>
        <w:numPr>
          <w:ilvl w:val="0"/>
          <w:numId w:val="1"/>
        </w:numPr>
      </w:pPr>
      <w:r>
        <w:t xml:space="preserve">[ ] **Data Protection Officer (Art. 37)** (GDPR): Appoint DPO or document exemption rationale</w:t>
      </w:r>
    </w:p>
    <w:p>
      <w:pPr>
        <w:pStyle w:val="ListParagraph"/>
        <w:numPr>
          <w:ilvl w:val="0"/>
          <w:numId w:val="1"/>
        </w:numPr>
      </w:pPr>
      <w:r>
        <w:t xml:space="preserve">[ ] **Right to Erasure (Art. 17)** (GDPR): Implement automated deletion workflows; verify completeness across sub-processors</w:t>
      </w:r>
    </w:p>
    <w:p>
      <w:pPr>
        <w:pStyle w:val="ListParagraph"/>
        <w:numPr>
          <w:ilvl w:val="0"/>
          <w:numId w:val="1"/>
        </w:numPr>
      </w:pPr>
      <w:r>
        <w:t xml:space="preserve">[ ] **Processor Agreements (Art. 28)** (GDPR): Obtain signed DPAs from all 22 detected sub-processors</w:t>
      </w:r>
    </w:p>
    <w:p>
      <w:pPr>
        <w:pStyle w:val="Heading3"/>
      </w:pPr>
      <w:r>
        <w:t>Medium-term (Months 2-3) — Medium Priority Gaps</w:t>
      </w:r>
    </w:p>
    <w:p>
      <w:pPr>
        <w:pStyle w:val="ListParagraph"/>
        <w:numPr>
          <w:ilvl w:val="0"/>
          <w:numId w:val="1"/>
        </w:numPr>
      </w:pPr>
      <w:r>
        <w:t xml:space="preserve">[ ] **SOC 2 Type II Audit Readiness** (SOC 2): Map controls to Trust Service Criteria; begin 6-month evidence collection period</w:t>
      </w:r>
    </w:p>
    <w:p>
      <w:pPr>
        <w:pBdr>
          <w:bottom w:val="single" w:sz="6" w:space="1" w:color="999999"/>
        </w:pBdr>
      </w:pPr>
    </w:p>
    <w:p>
      <w:r>
        <w:t xml:space="preserve">This gap analysis is generated from automated code analysis and regulatory checklists. It does not constitute legal advice. Have this document reviewed by a qualified compliance professional before acting on 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