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Mapping Matrix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This matrix maps each detected third-party service to applicable regulations. Use this to understand the regulatory landscape for your technology stack and prioritize compliance efforts accordingly.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**YES**  |  Regulation applies to this service</w:t>
      </w:r>
    </w:p>
    <w:p>
      <w:r>
        <w:rPr>
          <w:sz w:val="20"/>
        </w:rPr>
        <w:t xml:space="preserve">**?**  |  May apply — requires manual assessment</w:t>
      </w:r>
    </w:p>
    <w:p>
      <w:r>
        <w:rPr>
          <w:sz w:val="20"/>
        </w:rPr>
        <w:t xml:space="preserve">**—**  |  Not applicable based on current analysis</w:t>
      </w:r>
    </w:p>
    <w:p>
      <w:pPr>
        <w:pStyle w:val="Heading2"/>
      </w:pPr>
      <w:r>
        <w:t>Service-to-Regulation Matrix</w:t>
      </w:r>
    </w:p>
    <w:p>
      <w:r>
        <w:rPr>
          <w:sz w:val="20"/>
        </w:rPr>
        <w:t xml:space="preserve">Service  |  Category  |  GDPR  |  CCPA  |  EU AI Act  |  PCI DSS  |  HIPAA  |  SOC 2</w:t>
      </w:r>
    </w:p>
    <w:p>
      <w:r>
        <w:rPr>
          <w:sz w:val="20"/>
        </w:rPr>
        <w:t xml:space="preserve">ActionCable  |  other  |  YES  |  YES  |  —  |  —  |  —  |  —</w:t>
      </w:r>
    </w:p>
    <w:p>
      <w:r>
        <w:rPr>
          <w:sz w:val="20"/>
        </w:rPr>
        <w:t xml:space="preserve">ActionController::Cookies  |  other  |  YES  |  —  |  —  |  —  |  —  |  —</w:t>
      </w:r>
    </w:p>
    <w:p>
      <w:r>
        <w:rPr>
          <w:sz w:val="20"/>
        </w:rPr>
        <w:t xml:space="preserve">ActionMailer  |  email  |  YES  |  YES  |  —  |  —  |  —  |  YES</w:t>
      </w:r>
    </w:p>
    <w:p>
      <w:r>
        <w:rPr>
          <w:sz w:val="20"/>
        </w:rPr>
        <w:t xml:space="preserve">Active Storage  |  storage  |  YES  |  —  |  —  |  —  |  ?  |  YES</w:t>
      </w:r>
    </w:p>
    <w:p>
      <w:r>
        <w:rPr>
          <w:sz w:val="20"/>
        </w:rPr>
        <w:t xml:space="preserve">ActiveRecord  |  database  |  YES  |  —  |  —  |  —  |  ?  |  YES</w:t>
      </w:r>
    </w:p>
    <w:p>
      <w:r>
        <w:rPr>
          <w:sz w:val="20"/>
        </w:rPr>
        <w:t xml:space="preserve">ActiveStorage  |  storage  |  YES  |  —  |  —  |  —  |  ?  |  YES</w:t>
      </w:r>
    </w:p>
    <w:p>
      <w:r>
        <w:rPr>
          <w:sz w:val="20"/>
        </w:rPr>
        <w:t xml:space="preserve">aws-sdk-s3  |  storage  |  YES  |  —  |  —  |  —  |  ?  |  YES</w:t>
      </w:r>
    </w:p>
    <w:p>
      <w:r>
        <w:rPr>
          <w:sz w:val="20"/>
        </w:rPr>
        <w:t xml:space="preserve">devise  |  auth  |  YES  |  YES  |  —  |  —  |  —  |  YES</w:t>
      </w:r>
    </w:p>
    <w:p>
      <w:r>
        <w:rPr>
          <w:sz w:val="20"/>
        </w:rPr>
        <w:t xml:space="preserve">ioredis  |  database  |  YES  |  —  |  —  |  —  |  ?  |  YES</w:t>
      </w:r>
    </w:p>
    <w:p>
      <w:r>
        <w:rPr>
          <w:sz w:val="20"/>
        </w:rPr>
        <w:t xml:space="preserve">omniauth  |  auth  |  YES  |  YES  |  —  |  —  |  —  |  YES</w:t>
      </w:r>
    </w:p>
    <w:p>
      <w:r>
        <w:rPr>
          <w:sz w:val="20"/>
        </w:rPr>
        <w:t xml:space="preserve">pg  |  database  |  YES  |  —  |  —  |  —  |  ?  |  YES</w:t>
      </w:r>
    </w:p>
    <w:p>
      <w:r>
        <w:rPr>
          <w:sz w:val="20"/>
        </w:rPr>
        <w:t xml:space="preserve">PostgreSQL  |  database  |  YES  |  —  |  —  |  —  |  ?  |  YES</w:t>
      </w:r>
    </w:p>
    <w:p>
      <w:r>
        <w:rPr>
          <w:sz w:val="20"/>
        </w:rPr>
        <w:t xml:space="preserve">PostgreSQL (env)  |  database  |  YES  |  —  |  —  |  —  |  ?  |  YES</w:t>
      </w:r>
    </w:p>
    <w:p>
      <w:r>
        <w:rPr>
          <w:sz w:val="20"/>
        </w:rPr>
        <w:t xml:space="preserve">pundit  |  auth  |  YES  |  YES  |  —  |  —  |  —  |  YES</w:t>
      </w:r>
    </w:p>
    <w:p>
      <w:r>
        <w:rPr>
          <w:sz w:val="20"/>
        </w:rPr>
        <w:t xml:space="preserve">rack-attack  |  other  |  YES  |  YES  |  —  |  —  |  —  |  —</w:t>
      </w:r>
    </w:p>
    <w:p>
      <w:r>
        <w:rPr>
          <w:sz w:val="20"/>
        </w:rPr>
        <w:t xml:space="preserve">rails-actionmailer  |  email  |  YES  |  YES  |  —  |  —  |  —  |  YES</w:t>
      </w:r>
    </w:p>
    <w:p>
      <w:r>
        <w:rPr>
          <w:sz w:val="20"/>
        </w:rPr>
        <w:t xml:space="preserve">rails-activerecord  |  database  |  YES  |  —  |  —  |  —  |  ?  |  YES</w:t>
      </w:r>
    </w:p>
    <w:p>
      <w:r>
        <w:rPr>
          <w:sz w:val="20"/>
        </w:rPr>
        <w:t xml:space="preserve">rails-sessions  |  auth  |  YES  |  YES  |  —  |  —  |  —  |  YES</w:t>
      </w:r>
    </w:p>
    <w:p>
      <w:r>
        <w:rPr>
          <w:sz w:val="20"/>
        </w:rPr>
        <w:t xml:space="preserve">redis  |  database  |  YES  |  —  |  —  |  —  |  ?  |  YES</w:t>
      </w:r>
    </w:p>
    <w:p>
      <w:r>
        <w:rPr>
          <w:sz w:val="20"/>
        </w:rPr>
        <w:t xml:space="preserve">Redis  |  database  |  YES  |  —  |  —  |  —  |  ?  |  YES</w:t>
      </w:r>
    </w:p>
    <w:p>
      <w:r>
        <w:rPr>
          <w:sz w:val="20"/>
        </w:rPr>
        <w:t xml:space="preserve">sidekiq  |  other  |  YES  |  —  |  —  |  —  |  —  |  —</w:t>
      </w:r>
    </w:p>
    <w:p>
      <w:r>
        <w:rPr>
          <w:sz w:val="20"/>
        </w:rPr>
        <w:t xml:space="preserve">ws (WebSocket)  |  other  |  YES  |  YES  |  —  |  —  |  —  |  —</w:t>
      </w:r>
    </w:p>
    <w:p>
      <w:pPr>
        <w:pStyle w:val="Heading2"/>
      </w:pPr>
      <w:r>
        <w:t>Regulation Coverage Summary</w:t>
      </w:r>
    </w:p>
    <w:p>
      <w:r>
        <w:rPr>
          <w:sz w:val="20"/>
        </w:rPr>
        <w:t xml:space="preserve">Regulation  |  Services Affected  |  Coverage %  |  Priority</w:t>
      </w:r>
    </w:p>
    <w:p>
      <w:r>
        <w:rPr>
          <w:sz w:val="20"/>
        </w:rPr>
        <w:t xml:space="preserve">GDPR  |  22/22  |  100%  |  High</w:t>
      </w:r>
    </w:p>
    <w:p>
      <w:r>
        <w:rPr>
          <w:sz w:val="20"/>
        </w:rPr>
        <w:t xml:space="preserve">CCPA  |  9/22  |  41%  |  Medium</w:t>
      </w:r>
    </w:p>
    <w:p>
      <w:r>
        <w:rPr>
          <w:sz w:val="20"/>
        </w:rPr>
        <w:t xml:space="preserve">EU AI Act  |  0/22  |  0%  |  Low</w:t>
      </w:r>
    </w:p>
    <w:p>
      <w:r>
        <w:rPr>
          <w:sz w:val="20"/>
        </w:rPr>
        <w:t xml:space="preserve">PCI DSS  |  0/22  |  0%  |  Low</w:t>
      </w:r>
    </w:p>
    <w:p>
      <w:r>
        <w:rPr>
          <w:sz w:val="20"/>
        </w:rPr>
        <w:t xml:space="preserve">HIPAA  |  0/22 (+11 pending)  |  0%  |  Low</w:t>
      </w:r>
    </w:p>
    <w:p>
      <w:r>
        <w:rPr>
          <w:sz w:val="20"/>
        </w:rPr>
        <w:t xml:space="preserve">SOC 2  |  17/22  |  77%  |  High</w:t>
      </w:r>
    </w:p>
    <w:p>
      <w:pPr>
        <w:pStyle w:val="Heading2"/>
      </w:pPr>
      <w:r>
        <w:t>Detailed Assessment by Regulation</w:t>
      </w:r>
    </w:p>
    <w:p>
      <w:pPr>
        <w:pStyle w:val="Heading3"/>
      </w:pPr>
      <w:r>
        <w:t>GDPR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ActionCable  |  Processes personal data</w:t>
      </w:r>
    </w:p>
    <w:p>
      <w:r>
        <w:rPr>
          <w:sz w:val="20"/>
        </w:rPr>
        <w:t xml:space="preserve">ActionController::Cookies  |  Processes personal data</w:t>
      </w:r>
    </w:p>
    <w:p>
      <w:r>
        <w:rPr>
          <w:sz w:val="20"/>
        </w:rPr>
        <w:t xml:space="preserve">ActionMailer  |  Processes personal data</w:t>
      </w:r>
    </w:p>
    <w:p>
      <w:r>
        <w:rPr>
          <w:sz w:val="20"/>
        </w:rPr>
        <w:t xml:space="preserve">Active Storage  |  Processes personal data</w:t>
      </w:r>
    </w:p>
    <w:p>
      <w:r>
        <w:rPr>
          <w:sz w:val="20"/>
        </w:rPr>
        <w:t xml:space="preserve">ActiveRecord  |  Processes personal data</w:t>
      </w:r>
    </w:p>
    <w:p>
      <w:r>
        <w:rPr>
          <w:sz w:val="20"/>
        </w:rPr>
        <w:t xml:space="preserve">ActiveStorage  |  Processes personal data</w:t>
      </w:r>
    </w:p>
    <w:p>
      <w:r>
        <w:rPr>
          <w:sz w:val="20"/>
        </w:rPr>
        <w:t xml:space="preserve">aws-sdk-s3  |  May store personal data</w:t>
      </w:r>
    </w:p>
    <w:p>
      <w:r>
        <w:rPr>
          <w:sz w:val="20"/>
        </w:rPr>
        <w:t xml:space="preserve">devise  |  Processes personal data</w:t>
      </w:r>
    </w:p>
    <w:p>
      <w:r>
        <w:rPr>
          <w:sz w:val="20"/>
        </w:rPr>
        <w:t xml:space="preserve">ioredis  |  May store personal data</w:t>
      </w:r>
    </w:p>
    <w:p>
      <w:r>
        <w:rPr>
          <w:sz w:val="20"/>
        </w:rPr>
        <w:t xml:space="preserve">omniauth  |  Processes personal data</w:t>
      </w:r>
    </w:p>
    <w:p>
      <w:r>
        <w:rPr>
          <w:sz w:val="20"/>
        </w:rPr>
        <w:t xml:space="preserve">pg  |  Processes personal data</w:t>
      </w:r>
    </w:p>
    <w:p>
      <w:r>
        <w:rPr>
          <w:sz w:val="20"/>
        </w:rPr>
        <w:t xml:space="preserve">PostgreSQL  |  Processes personal data</w:t>
      </w:r>
    </w:p>
    <w:p>
      <w:r>
        <w:rPr>
          <w:sz w:val="20"/>
        </w:rPr>
        <w:t xml:space="preserve">PostgreSQL (env)  |  Processes personal data</w:t>
      </w:r>
    </w:p>
    <w:p>
      <w:r>
        <w:rPr>
          <w:sz w:val="20"/>
        </w:rPr>
        <w:t xml:space="preserve">pundit  |  Processes personal data</w:t>
      </w:r>
    </w:p>
    <w:p>
      <w:r>
        <w:rPr>
          <w:sz w:val="20"/>
        </w:rPr>
        <w:t xml:space="preserve">rack-attack  |  Processes personal data</w:t>
      </w:r>
    </w:p>
    <w:p>
      <w:r>
        <w:rPr>
          <w:sz w:val="20"/>
        </w:rPr>
        <w:t xml:space="preserve">rails-actionmailer  |  Processes personal data</w:t>
      </w:r>
    </w:p>
    <w:p>
      <w:r>
        <w:rPr>
          <w:sz w:val="20"/>
        </w:rPr>
        <w:t xml:space="preserve">rails-activerecord  |  Processes personal data</w:t>
      </w:r>
    </w:p>
    <w:p>
      <w:r>
        <w:rPr>
          <w:sz w:val="20"/>
        </w:rPr>
        <w:t xml:space="preserve">rails-sessions  |  Processes personal data</w:t>
      </w:r>
    </w:p>
    <w:p>
      <w:r>
        <w:rPr>
          <w:sz w:val="20"/>
        </w:rPr>
        <w:t xml:space="preserve">redis  |  May store personal data</w:t>
      </w:r>
    </w:p>
    <w:p>
      <w:r>
        <w:rPr>
          <w:sz w:val="20"/>
        </w:rPr>
        <w:t xml:space="preserve">Redis  |  May store personal data</w:t>
      </w:r>
    </w:p>
    <w:p>
      <w:r>
        <w:rPr>
          <w:sz w:val="20"/>
        </w:rPr>
        <w:t xml:space="preserve">sidekiq  |  Processes personal data</w:t>
      </w:r>
    </w:p>
    <w:p>
      <w:r>
        <w:rPr>
          <w:sz w:val="20"/>
        </w:rPr>
        <w:t xml:space="preserve">ws (WebSocket)  |  Processes personal data</w:t>
      </w:r>
    </w:p>
    <w:p>
      <w:pPr>
        <w:pStyle w:val="Heading3"/>
      </w:pPr>
      <w:r>
        <w:t>CCPA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ActionCable  |  Processes California consumer personal information</w:t>
      </w:r>
    </w:p>
    <w:p>
      <w:r>
        <w:rPr>
          <w:sz w:val="20"/>
        </w:rPr>
        <w:t xml:space="preserve">ActionMailer  |  Processes consumer contact information</w:t>
      </w:r>
    </w:p>
    <w:p>
      <w:r>
        <w:rPr>
          <w:sz w:val="20"/>
        </w:rPr>
        <w:t xml:space="preserve">devise  |  Collects consumer identity information</w:t>
      </w:r>
    </w:p>
    <w:p>
      <w:r>
        <w:rPr>
          <w:sz w:val="20"/>
        </w:rPr>
        <w:t xml:space="preserve">omniauth  |  Collects consumer identity information</w:t>
      </w:r>
    </w:p>
    <w:p>
      <w:r>
        <w:rPr>
          <w:sz w:val="20"/>
        </w:rPr>
        <w:t xml:space="preserve">pundit  |  Collects consumer identity information</w:t>
      </w:r>
    </w:p>
    <w:p>
      <w:r>
        <w:rPr>
          <w:sz w:val="20"/>
        </w:rPr>
        <w:t xml:space="preserve">rack-attack  |  Processes California consumer personal information</w:t>
      </w:r>
    </w:p>
    <w:p>
      <w:r>
        <w:rPr>
          <w:sz w:val="20"/>
        </w:rPr>
        <w:t xml:space="preserve">rails-actionmailer  |  Processes consumer contact information</w:t>
      </w:r>
    </w:p>
    <w:p>
      <w:r>
        <w:rPr>
          <w:sz w:val="20"/>
        </w:rPr>
        <w:t xml:space="preserve">rails-sessions  |  Collects consumer identity information</w:t>
      </w:r>
    </w:p>
    <w:p>
      <w:r>
        <w:rPr>
          <w:sz w:val="20"/>
        </w:rPr>
        <w:t xml:space="preserve">ws (WebSocket)  |  Processes California consumer personal information</w:t>
      </w:r>
    </w:p>
    <w:p>
      <w:pPr>
        <w:pStyle w:val="Heading3"/>
      </w:pPr>
      <w:r>
        <w:t>EU AI Act</w:t>
      </w:r>
    </w:p>
    <w:p>
      <w:r>
        <w:t xml:space="preserve">No services identified as subject to EU AI Act requirements.</w:t>
      </w:r>
    </w:p>
    <w:p>
      <w:pPr>
        <w:pStyle w:val="Heading3"/>
      </w:pPr>
      <w:r>
        <w:t>PCI DSS</w:t>
      </w:r>
    </w:p>
    <w:p>
      <w:r>
        <w:t xml:space="preserve">No services identified as subject to PCI DSS requirements.</w:t>
      </w:r>
    </w:p>
    <w:p>
      <w:pPr>
        <w:pStyle w:val="Heading3"/>
      </w:pPr>
      <w:r>
        <w:t>HIPAA</w:t>
      </w:r>
    </w:p>
    <w:p>
      <w:r>
        <w:t xml:space="preserve">Requires manual assessment: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Active Storage  |  May apply if storing PHI — requires manual assessment</w:t>
      </w:r>
    </w:p>
    <w:p>
      <w:r>
        <w:rPr>
          <w:sz w:val="20"/>
        </w:rPr>
        <w:t xml:space="preserve">ActiveRecord  |  May apply if storing PHI — requires manual assessment</w:t>
      </w:r>
    </w:p>
    <w:p>
      <w:r>
        <w:rPr>
          <w:sz w:val="20"/>
        </w:rPr>
        <w:t xml:space="preserve">ActiveStorage  |  May apply if storing PHI — requires manual assessment</w:t>
      </w:r>
    </w:p>
    <w:p>
      <w:r>
        <w:rPr>
          <w:sz w:val="20"/>
        </w:rPr>
        <w:t xml:space="preserve">aws-sdk-s3  |  May apply if storing PHI — requires manual assessment</w:t>
      </w:r>
    </w:p>
    <w:p>
      <w:r>
        <w:rPr>
          <w:sz w:val="20"/>
        </w:rPr>
        <w:t xml:space="preserve">ioredis  |  May apply if storing PHI — requires manual assessment</w:t>
      </w:r>
    </w:p>
    <w:p>
      <w:r>
        <w:rPr>
          <w:sz w:val="20"/>
        </w:rPr>
        <w:t xml:space="preserve">pg  |  May apply if storing PHI — requires manual assessment</w:t>
      </w:r>
    </w:p>
    <w:p>
      <w:r>
        <w:rPr>
          <w:sz w:val="20"/>
        </w:rPr>
        <w:t xml:space="preserve">PostgreSQL  |  May apply if storing PHI — requires manual assessment</w:t>
      </w:r>
    </w:p>
    <w:p>
      <w:r>
        <w:rPr>
          <w:sz w:val="20"/>
        </w:rPr>
        <w:t xml:space="preserve">PostgreSQL (env)  |  May apply if storing PHI — requires manual assessment</w:t>
      </w:r>
    </w:p>
    <w:p>
      <w:r>
        <w:rPr>
          <w:sz w:val="20"/>
        </w:rPr>
        <w:t xml:space="preserve">rails-activerecord  |  May apply if storing PHI — requires manual assessment</w:t>
      </w:r>
    </w:p>
    <w:p>
      <w:r>
        <w:rPr>
          <w:sz w:val="20"/>
        </w:rPr>
        <w:t xml:space="preserve">redis  |  May apply if storing PHI — requires manual assessment</w:t>
      </w:r>
    </w:p>
    <w:p>
      <w:r>
        <w:rPr>
          <w:sz w:val="20"/>
        </w:rPr>
        <w:t xml:space="preserve">Redis  |  May apply if storing PHI — requires manual assessment</w:t>
      </w:r>
    </w:p>
    <w:p>
      <w:pPr>
        <w:pStyle w:val="Heading3"/>
      </w:pPr>
      <w:r>
        <w:t>SOC 2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ActionMailer  |  email service relevant to SOC 2 Trust Service Criteria</w:t>
      </w:r>
    </w:p>
    <w:p>
      <w:r>
        <w:rPr>
          <w:sz w:val="20"/>
        </w:rPr>
        <w:t xml:space="preserve">Active Storage  |  storage service relevant to SOC 2 Trust Service Criteria</w:t>
      </w:r>
    </w:p>
    <w:p>
      <w:r>
        <w:rPr>
          <w:sz w:val="20"/>
        </w:rPr>
        <w:t xml:space="preserve">ActiveRecord  |  database service relevant to SOC 2 Trust Service Criteria</w:t>
      </w:r>
    </w:p>
    <w:p>
      <w:r>
        <w:rPr>
          <w:sz w:val="20"/>
        </w:rPr>
        <w:t xml:space="preserve">ActiveStorage  |  storage service relevant to SOC 2 Trust Service Criteria</w:t>
      </w:r>
    </w:p>
    <w:p>
      <w:r>
        <w:rPr>
          <w:sz w:val="20"/>
        </w:rPr>
        <w:t xml:space="preserve">aws-sdk-s3  |  storage service relevant to SOC 2 Trust Service Criteria</w:t>
      </w:r>
    </w:p>
    <w:p>
      <w:r>
        <w:rPr>
          <w:sz w:val="20"/>
        </w:rPr>
        <w:t xml:space="preserve">devise  |  auth service relevant to SOC 2 Trust Service Criteria</w:t>
      </w:r>
    </w:p>
    <w:p>
      <w:r>
        <w:rPr>
          <w:sz w:val="20"/>
        </w:rPr>
        <w:t xml:space="preserve">ioredis  |  database service relevant to SOC 2 Trust Service Criteria</w:t>
      </w:r>
    </w:p>
    <w:p>
      <w:r>
        <w:rPr>
          <w:sz w:val="20"/>
        </w:rPr>
        <w:t xml:space="preserve">omniauth  |  auth service relevant to SOC 2 Trust Service Criteria</w:t>
      </w:r>
    </w:p>
    <w:p>
      <w:r>
        <w:rPr>
          <w:sz w:val="20"/>
        </w:rPr>
        <w:t xml:space="preserve">pg  |  database service relevant to SOC 2 Trust Service Criteria</w:t>
      </w:r>
    </w:p>
    <w:p>
      <w:r>
        <w:rPr>
          <w:sz w:val="20"/>
        </w:rPr>
        <w:t xml:space="preserve">PostgreSQL  |  database service relevant to SOC 2 Trust Service Criteria</w:t>
      </w:r>
    </w:p>
    <w:p>
      <w:r>
        <w:rPr>
          <w:sz w:val="20"/>
        </w:rPr>
        <w:t xml:space="preserve">PostgreSQL (env)  |  database service relevant to SOC 2 Trust Service Criteria</w:t>
      </w:r>
    </w:p>
    <w:p>
      <w:r>
        <w:rPr>
          <w:sz w:val="20"/>
        </w:rPr>
        <w:t xml:space="preserve">pundit  |  auth service relevant to SOC 2 Trust Service Criteria</w:t>
      </w:r>
    </w:p>
    <w:p>
      <w:r>
        <w:rPr>
          <w:sz w:val="20"/>
        </w:rPr>
        <w:t xml:space="preserve">rails-actionmailer  |  email service relevant to SOC 2 Trust Service Criteria</w:t>
      </w:r>
    </w:p>
    <w:p>
      <w:r>
        <w:rPr>
          <w:sz w:val="20"/>
        </w:rPr>
        <w:t xml:space="preserve">rails-activerecord  |  database service relevant to SOC 2 Trust Service Criteria</w:t>
      </w:r>
    </w:p>
    <w:p>
      <w:r>
        <w:rPr>
          <w:sz w:val="20"/>
        </w:rPr>
        <w:t xml:space="preserve">rails-sessions  |  auth service relevant to SOC 2 Trust Service Criteria</w:t>
      </w:r>
    </w:p>
    <w:p>
      <w:r>
        <w:rPr>
          <w:sz w:val="20"/>
        </w:rPr>
        <w:t xml:space="preserve">redis  |  database service relevant to SOC 2 Trust Service Criteria</w:t>
      </w:r>
    </w:p>
    <w:p>
      <w:r>
        <w:rPr>
          <w:sz w:val="20"/>
        </w:rPr>
        <w:t xml:space="preserve">Redis  |  database service relevant to SOC 2 Trust Service Criteria</w:t>
      </w:r>
    </w:p>
    <w:p>
      <w:pPr>
        <w:pStyle w:val="Heading2"/>
      </w:pPr>
      <w:r>
        <w:t>Category Heatmap</w:t>
      </w:r>
    </w:p>
    <w:p>
      <w:r>
        <w:t xml:space="preserve">Regulatory exposure by service category:</w:t>
      </w:r>
    </w:p>
    <w:p>
      <w:r>
        <w:rPr>
          <w:sz w:val="20"/>
        </w:rPr>
        <w:t xml:space="preserve">Category  |  # Services  |  GDPR  |  CCPA  |  AI Act  |  PCI  |  HIPAA  |  SOC 2  |  Regulatory Exposure</w:t>
      </w:r>
    </w:p>
    <w:p>
      <w:r>
        <w:rPr>
          <w:sz w:val="20"/>
        </w:rPr>
        <w:t xml:space="preserve">other  |  5  |  5  |  3  |  0  |  0  |  0  |  0  |  27% (Low)</w:t>
      </w:r>
    </w:p>
    <w:p>
      <w:r>
        <w:rPr>
          <w:sz w:val="20"/>
        </w:rPr>
        <w:t xml:space="preserve">email  |  2  |  2  |  2  |  0  |  0  |  0  |  2  |  50% (Medium)</w:t>
      </w:r>
    </w:p>
    <w:p>
      <w:r>
        <w:rPr>
          <w:sz w:val="20"/>
        </w:rPr>
        <w:t xml:space="preserve">storage  |  3  |  3  |  0  |  0  |  0  |  0  |  3  |  33% (Low)</w:t>
      </w:r>
    </w:p>
    <w:p>
      <w:r>
        <w:rPr>
          <w:sz w:val="20"/>
        </w:rPr>
        <w:t xml:space="preserve">database  |  8  |  8  |  0  |  0  |  0  |  0  |  8  |  33% (Low)</w:t>
      </w:r>
    </w:p>
    <w:p>
      <w:r>
        <w:rPr>
          <w:sz w:val="20"/>
        </w:rPr>
        <w:t xml:space="preserve">auth  |  4  |  4  |  4  |  0  |  0  |  0  |  4  |  50% (Medium)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2"/>
        </w:numPr>
      </w:pPr>
      <w:r>
        <w:t xml:space="preserve">**GDPR:** 22 service(s) process personal data. Ensure DPAs are in place, lawful basis is documented, and DSAR handling procedures are established.</w:t>
      </w:r>
    </w:p>
    <w:p>
      <w:pPr>
        <w:pStyle w:val="ListParagraph"/>
        <w:numPr>
          <w:ilvl w:val="0"/>
          <w:numId w:val="2"/>
        </w:numPr>
      </w:pPr>
      <w:r>
        <w:t xml:space="preserve">**CCPA:** 9 service(s) process consumer information. Ensure "Do Not Sell" mechanisms are implemented and privacy notice is updated.</w:t>
      </w:r>
    </w:p>
    <w:p>
      <w:pPr>
        <w:pStyle w:val="ListParagraph"/>
        <w:numPr>
          <w:ilvl w:val="0"/>
          <w:numId w:val="2"/>
        </w:numPr>
      </w:pPr>
      <w:r>
        <w:t xml:space="preserve">**SOC 2:** Review Trust Service Criteria (Security, Availability, Processing Integrity, Confidentiality, Privacy) against all applicable services.</w:t>
      </w:r>
    </w:p>
    <w:p>
      <w:pPr>
        <w:pBdr>
          <w:bottom w:val="single" w:sz="6" w:space="1" w:color="999999"/>
        </w:pBdr>
      </w:pPr>
    </w:p>
    <w:p>
      <w:r>
        <w:t xml:space="preserve">This regulatory mapping matrix was generated by [Codepliant](https://github.com/joechensmartz/codepliant) based on an automated scan of the @mastodon/mastodon codebase. Applicability assessments are based on service categories and detected data types. Consult legal counsel to confirm regulatory obligations for your specific jurisdiction and use case.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