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Readiness Scorecard — [Your Company Name]</w:t>
      </w:r>
    </w:p>
    <w:p>
      <w:pPr>
        <w:ind w:left="720"/>
      </w:pPr>
      <w:r>
        <w:rPr>
          <w:i/>
          <w:color w:val="666666"/>
        </w:rPr>
        <w:t xml:space="preserve">Auto-generated by Codepliant on 2026-03-16.</w:t>
      </w:r>
    </w:p>
    <w:p>
      <w:pPr>
        <w:ind w:left="720"/>
      </w:pPr>
      <w:r>
        <w:rPr>
          <w:i/>
          <w:color w:val="666666"/>
        </w:rPr>
        <w:t xml:space="preserve">Per-regulation readiness scores with visual progress indicators.</w:t>
      </w:r>
    </w:p>
    <w:p>
      <w:pPr>
        <w:ind w:left="720"/>
      </w:pPr>
      <w:r>
        <w:rPr>
          <w:i/>
          <w:color w:val="666666"/>
        </w:rPr>
        <w:t xml:space="preserve">This scorecard should be reviewed by qualified legal and compliance professionals.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Overall Readiness</w:t>
      </w:r>
    </w:p>
    <w:p>
      <w:r>
        <w:t xml:space="preserve">Overall Score: 50% █████░░░░░</w:t>
      </w:r>
    </w:p>
    <w:p>
      <w:r>
        <w:rPr>
          <w:sz w:val="20"/>
        </w:rPr>
        <w:t xml:space="preserve">Regulation  |  Score  |  Progress</w:t>
      </w:r>
    </w:p>
    <w:p>
      <w:r>
        <w:rPr>
          <w:sz w:val="20"/>
        </w:rPr>
        <w:t xml:space="preserve">GDPR  |  **30%**  |  ███░░░░░░░</w:t>
      </w:r>
    </w:p>
    <w:p>
      <w:r>
        <w:rPr>
          <w:sz w:val="20"/>
        </w:rPr>
        <w:t xml:space="preserve">SOC 2  |  **70%**  |  ███████░░░</w:t>
      </w:r>
    </w:p>
    <w:p>
      <w:pPr>
        <w:pStyle w:val="Heading2"/>
      </w:pPr>
      <w:r>
        <w:t>Per-Regulation Assessment</w:t>
      </w:r>
    </w:p>
    <w:p>
      <w:pPr>
        <w:pStyle w:val="Heading3"/>
      </w:pPr>
      <w:r>
        <w:t>GDPR — 30% ███░░░░░░░</w:t>
      </w:r>
    </w:p>
    <w:p>
      <w:r>
        <w:t xml:space="preserve">EU General Data Protection Regulation</w:t>
      </w:r>
    </w:p>
    <w:p>
      <w:r>
        <w:rPr>
          <w:sz w:val="20"/>
        </w:rPr>
        <w:t xml:space="preserve">Requirement  |  Status  |  Weight</w:t>
      </w:r>
    </w:p>
    <w:p>
      <w:r>
        <w:rPr>
          <w:sz w:val="20"/>
        </w:rPr>
        <w:t xml:space="preserve">Privacy Notice (Art. 13/14)  |  + Ready  |  15%</w:t>
      </w:r>
    </w:p>
    <w:p>
      <w:r>
        <w:rPr>
          <w:sz w:val="20"/>
        </w:rPr>
        <w:t xml:space="preserve">Record of Processing Activities (Art. 30)  |  + Ready  |  10%</w:t>
      </w:r>
    </w:p>
    <w:p>
      <w:r>
        <w:rPr>
          <w:sz w:val="20"/>
        </w:rPr>
        <w:t xml:space="preserve">Data Protection Impact Assessment (Art. 35)  |  - Action Needed  |  15%</w:t>
      </w:r>
    </w:p>
    <w:p>
      <w:r>
        <w:rPr>
          <w:sz w:val="20"/>
        </w:rPr>
        <w:t xml:space="preserve">Data Protection Officer (Art. 37)  |  - Action Needed  |  10%</w:t>
      </w:r>
    </w:p>
    <w:p>
      <w:r>
        <w:rPr>
          <w:sz w:val="20"/>
        </w:rPr>
        <w:t xml:space="preserve">Consent Management (Art. 6/7)  |  + Ready  |  5%</w:t>
      </w:r>
    </w:p>
    <w:p>
      <w:r>
        <w:rPr>
          <w:sz w:val="20"/>
        </w:rPr>
        <w:t xml:space="preserve">Processor Agreements (Art. 28)  |  - Action Needed  |  10%</w:t>
      </w:r>
    </w:p>
    <w:p>
      <w:r>
        <w:rPr>
          <w:sz w:val="20"/>
        </w:rPr>
        <w:t xml:space="preserve">Breach Notification Procedure (Art. 33/34)  |  - Action Needed  |  10%</w:t>
      </w:r>
    </w:p>
    <w:p>
      <w:r>
        <w:rPr>
          <w:sz w:val="20"/>
        </w:rPr>
        <w:t xml:space="preserve">Right to Erasure (Art. 17)  |  - Action Needed  |  10%</w:t>
      </w:r>
    </w:p>
    <w:p>
      <w:r>
        <w:rPr>
          <w:sz w:val="20"/>
        </w:rPr>
        <w:t xml:space="preserve">Privacy by Design (Art. 25)  |  - Action Needed  |  10%</w:t>
      </w:r>
    </w:p>
    <w:p>
      <w:r>
        <w:rPr>
          <w:sz w:val="20"/>
        </w:rPr>
        <w:t xml:space="preserve">Jurisdictional Scope Defined  |  - Action Needed  |  5%</w:t>
      </w:r>
    </w:p>
    <w:p>
      <w:r>
        <w:t xml:space="preserve">Action items to reach 100%:</w:t>
      </w:r>
    </w:p>
    <w:p>
      <w:pPr>
        <w:pStyle w:val="ListParagraph"/>
        <w:numPr>
          <w:ilvl w:val="0"/>
          <w:numId w:val="1"/>
        </w:numPr>
      </w:pPr>
      <w:r>
        <w:t xml:space="preserve">[ ] **Data Protection Impact Assessment (Art. 35)** (15%): Conduct formal DPIA for high-risk processing activities</w:t>
      </w:r>
    </w:p>
    <w:p>
      <w:pPr>
        <w:pStyle w:val="ListParagraph"/>
        <w:numPr>
          <w:ilvl w:val="0"/>
          <w:numId w:val="1"/>
        </w:numPr>
      </w:pPr>
      <w:r>
        <w:t xml:space="preserve">[ ] **Data Protection Officer (Art. 37)** (10%): Appoint a DPO or document exemption rationale in config</w:t>
      </w:r>
    </w:p>
    <w:p>
      <w:pPr>
        <w:pStyle w:val="ListParagraph"/>
        <w:numPr>
          <w:ilvl w:val="0"/>
          <w:numId w:val="1"/>
        </w:numPr>
      </w:pPr>
      <w:r>
        <w:t xml:space="preserve">[ ] **Processor Agreements (Art. 28)** (10%): Obtain signed DPAs from all 22 detected sub-processors</w:t>
      </w:r>
    </w:p>
    <w:p>
      <w:pPr>
        <w:pStyle w:val="ListParagraph"/>
        <w:numPr>
          <w:ilvl w:val="0"/>
          <w:numId w:val="1"/>
        </w:numPr>
      </w:pPr>
      <w:r>
        <w:t xml:space="preserve">[ ] **Breach Notification Procedure (Art. 33/34)** (10%): Establish 72-hour breach notification procedure and conduct tabletop exercise</w:t>
      </w:r>
    </w:p>
    <w:p>
      <w:pPr>
        <w:pStyle w:val="ListParagraph"/>
        <w:numPr>
          <w:ilvl w:val="0"/>
          <w:numId w:val="1"/>
        </w:numPr>
      </w:pPr>
      <w:r>
        <w:t xml:space="preserve">[ ] **Right to Erasure (Art. 17)** (10%): Implement automated data deletion workflows across all services</w:t>
      </w:r>
    </w:p>
    <w:p>
      <w:pPr>
        <w:pStyle w:val="ListParagraph"/>
        <w:numPr>
          <w:ilvl w:val="0"/>
          <w:numId w:val="1"/>
        </w:numPr>
      </w:pPr>
      <w:r>
        <w:t xml:space="preserve">[ ] **Privacy by Design (Art. 25)** (10%): Document privacy-by-design practices in development workflow</w:t>
      </w:r>
    </w:p>
    <w:p>
      <w:pPr>
        <w:pStyle w:val="ListParagraph"/>
        <w:numPr>
          <w:ilvl w:val="0"/>
          <w:numId w:val="1"/>
        </w:numPr>
      </w:pPr>
      <w:r>
        <w:t xml:space="preserve">[ ] **Jurisdictional Scope Defined** (5%): Define applicable jurisdictions in .codepliantrc.json</w:t>
      </w:r>
    </w:p>
    <w:p>
      <w:pPr>
        <w:pStyle w:val="Heading3"/>
      </w:pPr>
      <w:r>
        <w:t>SOC 2 — 70% ███████░░░</w:t>
      </w:r>
    </w:p>
    <w:p>
      <w:r>
        <w:t xml:space="preserve">Service Organization Control Type 2</w:t>
      </w:r>
    </w:p>
    <w:p>
      <w:r>
        <w:rPr>
          <w:sz w:val="20"/>
        </w:rPr>
        <w:t xml:space="preserve">Requirement  |  Status  |  Weight</w:t>
      </w:r>
    </w:p>
    <w:p>
      <w:r>
        <w:rPr>
          <w:sz w:val="20"/>
        </w:rPr>
        <w:t xml:space="preserve">Security Policy Documentation  |  + Ready  |  20%</w:t>
      </w:r>
    </w:p>
    <w:p>
      <w:r>
        <w:rPr>
          <w:sz w:val="20"/>
        </w:rPr>
        <w:t xml:space="preserve">Access Control Policy  |  + Ready  |  20%</w:t>
      </w:r>
    </w:p>
    <w:p>
      <w:r>
        <w:rPr>
          <w:sz w:val="20"/>
        </w:rPr>
        <w:t xml:space="preserve">Change Management Process  |  - Action Needed  |  15%</w:t>
      </w:r>
    </w:p>
    <w:p>
      <w:r>
        <w:rPr>
          <w:sz w:val="20"/>
        </w:rPr>
        <w:t xml:space="preserve">Incident Response Plan  |  + Ready  |  15%</w:t>
      </w:r>
    </w:p>
    <w:p>
      <w:r>
        <w:rPr>
          <w:sz w:val="20"/>
        </w:rPr>
        <w:t xml:space="preserve">Vendor Risk Management  |  + Ready  |  15%</w:t>
      </w:r>
    </w:p>
    <w:p>
      <w:r>
        <w:rPr>
          <w:sz w:val="20"/>
        </w:rPr>
        <w:t xml:space="preserve">Evidence Collection &amp; Audit Trail  |  - Action Needed  |  15%</w:t>
      </w:r>
    </w:p>
    <w:p>
      <w:r>
        <w:t xml:space="preserve">Action items to reach 100%:</w:t>
      </w:r>
    </w:p>
    <w:p>
      <w:pPr>
        <w:pStyle w:val="ListParagraph"/>
        <w:numPr>
          <w:ilvl w:val="0"/>
          <w:numId w:val="1"/>
        </w:numPr>
      </w:pPr>
      <w:r>
        <w:t xml:space="preserve">[ ] **Change Management Process** (15%): Document change management procedures with approval workflows</w:t>
      </w:r>
    </w:p>
    <w:p>
      <w:pPr>
        <w:pStyle w:val="ListParagraph"/>
        <w:numPr>
          <w:ilvl w:val="0"/>
          <w:numId w:val="1"/>
        </w:numPr>
      </w:pPr>
      <w:r>
        <w:t xml:space="preserve">[ ] **Evidence Collection &amp; Audit Trail** (15%): Begin 6-month evidence collection period; automate evidence gathering</w:t>
      </w:r>
    </w:p>
    <w:p>
      <w:pPr>
        <w:pStyle w:val="Heading2"/>
      </w:pPr>
      <w:r>
        <w:t>Priority Action Plan</w:t>
      </w:r>
    </w:p>
    <w:p>
      <w:pPr>
        <w:pStyle w:val="Heading3"/>
      </w:pPr>
      <w:r>
        <w:t>High-Impact Actions (sorted by regulatory weight)</w:t>
      </w:r>
    </w:p>
    <w:p>
      <w:pPr>
        <w:pStyle w:val="ListParagraph"/>
        <w:numPr>
          <w:ilvl w:val="0"/>
          <w:numId w:val="2"/>
        </w:numPr>
      </w:pPr>
      <w:r>
        <w:t xml:space="preserve">**[GDPR] Data Protection Impact Assessment (Art. 35)** (15%): Conduct formal DPIA for high-risk processing activities</w:t>
      </w:r>
    </w:p>
    <w:p>
      <w:pPr>
        <w:pStyle w:val="ListParagraph"/>
        <w:numPr>
          <w:ilvl w:val="0"/>
          <w:numId w:val="2"/>
        </w:numPr>
      </w:pPr>
      <w:r>
        <w:t xml:space="preserve">**[SOC 2] Change Management Process** (15%): Document change management procedures with approval workflows</w:t>
      </w:r>
    </w:p>
    <w:p>
      <w:pPr>
        <w:pStyle w:val="ListParagraph"/>
        <w:numPr>
          <w:ilvl w:val="0"/>
          <w:numId w:val="2"/>
        </w:numPr>
      </w:pPr>
      <w:r>
        <w:t xml:space="preserve">**[SOC 2] Evidence Collection &amp; Audit Trail** (15%): Begin 6-month evidence collection period; automate evidence gathering</w:t>
      </w:r>
    </w:p>
    <w:p>
      <w:pPr>
        <w:pStyle w:val="ListParagraph"/>
        <w:numPr>
          <w:ilvl w:val="0"/>
          <w:numId w:val="2"/>
        </w:numPr>
      </w:pPr>
      <w:r>
        <w:t xml:space="preserve">**[GDPR] Data Protection Officer (Art. 37)** (10%): Appoint a DPO or document exemption rationale in config</w:t>
      </w:r>
    </w:p>
    <w:p>
      <w:pPr>
        <w:pStyle w:val="ListParagraph"/>
        <w:numPr>
          <w:ilvl w:val="0"/>
          <w:numId w:val="2"/>
        </w:numPr>
      </w:pPr>
      <w:r>
        <w:t xml:space="preserve">**[GDPR] Processor Agreements (Art. 28)** (10%): Obtain signed DPAs from all 22 detected sub-processors</w:t>
      </w:r>
    </w:p>
    <w:p>
      <w:pPr>
        <w:pStyle w:val="ListParagraph"/>
        <w:numPr>
          <w:ilvl w:val="0"/>
          <w:numId w:val="2"/>
        </w:numPr>
      </w:pPr>
      <w:r>
        <w:t xml:space="preserve">**[GDPR] Breach Notification Procedure (Art. 33/34)** (10%): Establish 72-hour breach notification procedure and conduct tabletop exercise</w:t>
      </w:r>
    </w:p>
    <w:p>
      <w:pPr>
        <w:pStyle w:val="ListParagraph"/>
        <w:numPr>
          <w:ilvl w:val="0"/>
          <w:numId w:val="2"/>
        </w:numPr>
      </w:pPr>
      <w:r>
        <w:t xml:space="preserve">**[GDPR] Right to Erasure (Art. 17)** (10%): Implement automated data deletion workflows across all services</w:t>
      </w:r>
    </w:p>
    <w:p>
      <w:pPr>
        <w:pStyle w:val="ListParagraph"/>
        <w:numPr>
          <w:ilvl w:val="0"/>
          <w:numId w:val="2"/>
        </w:numPr>
      </w:pPr>
      <w:r>
        <w:t xml:space="preserve">**[GDPR] Privacy by Design (Art. 25)** (10%): Document privacy-by-design practices in development workflow</w:t>
      </w:r>
    </w:p>
    <w:p>
      <w:pPr>
        <w:pStyle w:val="ListParagraph"/>
        <w:numPr>
          <w:ilvl w:val="0"/>
          <w:numId w:val="2"/>
        </w:numPr>
      </w:pPr>
      <w:r>
        <w:t xml:space="preserve">**[GDPR] Jurisdictional Scope Defined** (5%): Define applicable jurisdictions in .codepliantrc.json</w:t>
      </w:r>
    </w:p>
    <w:p>
      <w:pPr>
        <w:pBdr>
          <w:bottom w:val="single" w:sz="6" w:space="1" w:color="999999"/>
        </w:pBdr>
      </w:pPr>
    </w:p>
    <w:p>
      <w:r>
        <w:t xml:space="preserve">This regulatory readiness scorecard is generated from automated code analysis. Scores reflect documentation and configuration readiness, not full legal compliance. This does not constitute legal advice. Have this assessment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