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3</w:t>
      </w:r>
    </w:p>
    <w:p>
      <w:r>
        <w:rPr>
          <w:sz w:val="20"/>
        </w:rPr>
        <w:t xml:space="preserve">🟡 Medium  |  2</w:t>
      </w:r>
    </w:p>
    <w:p>
      <w:r>
        <w:rPr>
          <w:sz w:val="20"/>
        </w:rPr>
        <w:t xml:space="preserve">**Total**  |  **5**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RISK-002  |  GDPR non-compliance  |  regulatory  |  3 (Possible)  |  5 (Critical)  |  15  |  🔴 Critical</w:t>
      </w:r>
    </w:p>
    <w:p>
      <w:r>
        <w:rPr>
          <w:sz w:val="20"/>
        </w:rPr>
        <w:t xml:space="preserve">RISK-005  |  Missing required compliance documents  |  regulatory  |  5 (Almost Certain)  |  3 (Moderate)  |  15  |  🔴 Critical</w:t>
      </w:r>
    </w:p>
    <w:p>
      <w:r>
        <w:rPr>
          <w:sz w:val="20"/>
        </w:rPr>
        <w:t xml:space="preserve">RISK-003  |  Third-party vendor data handling  |  vendor  |  3 (Possible)  |  3 (Moderate)  |  9  |  🟡 Medium</w:t>
      </w:r>
    </w:p>
    <w:p>
      <w:r>
        <w:rPr>
          <w:sz w:val="20"/>
        </w:rPr>
        <w:t xml:space="preserve">RISK-004  |  Unsolicited email communications  |  operational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ActiveRecord, devise, ioredis, omniauth, pg, PostgreSQL, PostgreSQL (env), pundit, rails-activerecord, rails-sessions, redis, Redis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RISK-002: GDPR non-compliance 🔴</w:t>
      </w:r>
    </w:p>
    <w:p>
      <w:r>
        <w:t xml:space="preserve">Category: regulatory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Processing personal data of EU residents without full GDPR compliance could result in fines up to 4% of annual global turnover or EUR 20 million.</w:t>
      </w:r>
    </w:p>
    <w:p>
      <w:r>
        <w:t xml:space="preserve">Related Services: ActionCable, ActionController::Cookies, ActionMailer, Active Storage, ActiveRecord, ActiveStorage, aws-sdk-s3, devise, ioredis, omniauth, pg, PostgreSQL, PostgreSQL (env), pundit, rack-attack, rails-actionmailer, rails-activerecord, rails-sessions, redis, Redis, sidekiq, ws (WebSocket)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lawful basis for each data processing activity</w:t>
      </w:r>
    </w:p>
    <w:p>
      <w:pPr>
        <w:pStyle w:val="ListParagraph"/>
        <w:numPr>
          <w:ilvl w:val="0"/>
          <w:numId w:val="1"/>
        </w:numPr>
      </w:pPr>
      <w:r>
        <w:t xml:space="preserve">[ ] Provide clear and accessible privacy notices</w:t>
      </w:r>
    </w:p>
    <w:p>
      <w:pPr>
        <w:pStyle w:val="ListParagraph"/>
        <w:numPr>
          <w:ilvl w:val="0"/>
          <w:numId w:val="1"/>
        </w:numPr>
      </w:pPr>
      <w:r>
        <w:t xml:space="preserve">[ ] Implement DSAR (Data Subject Access Request)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practices</w:t>
      </w:r>
    </w:p>
    <w:p>
      <w:pPr>
        <w:pStyle w:val="Heading3"/>
      </w:pPr>
      <w:r>
        <w:t>RISK-005: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4 required compliance document(s) identified but not yet generated: Privacy Policy, Cookie Policy, COPPA Compliance, Security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RISK-003: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22 third-party services detected. Each vendor introduces potential data handling, availability, and compliance risks.</w:t>
      </w:r>
    </w:p>
    <w:p>
      <w:r>
        <w:t xml:space="preserve">Related Services: ActionCable, ActionController::Cookies, ActionMailer, Active Storage, ActiveRecord, ActiveStorage, aws-sdk-s3, devise, ioredis, omniauth, pg, PostgreSQL, PostgreSQL (env), pundit, rack-attack, rails-actionmailer, rails-activerecord, rails-sessions, redis, Redis, sidekiq, ws (WebSocket)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3"/>
      </w:pPr>
      <w:r>
        <w:t>RISK-004: Unsolicited email communications 🟡</w:t>
      </w:r>
    </w:p>
    <w:p>
      <w:r>
        <w:t xml:space="preserve">Category: operational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Email services may be used to send marketing communications without proper consent, violating CAN-SPAM, GDPR, or CASL.</w:t>
      </w:r>
    </w:p>
    <w:p>
      <w:r>
        <w:t xml:space="preserve">Related Services: ActionMailer, rails-actionmailer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double opt-in for marketing emails</w:t>
      </w:r>
    </w:p>
    <w:p>
      <w:pPr>
        <w:pStyle w:val="ListParagraph"/>
        <w:numPr>
          <w:ilvl w:val="0"/>
          <w:numId w:val="1"/>
        </w:numPr>
      </w:pPr>
      <w:r>
        <w:t xml:space="preserve">[ ] Include working unsubscribe links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[ ] Maintain suppression lists and honor unsubscribe requests promptly</w:t>
      </w:r>
    </w:p>
    <w:p>
      <w:pPr>
        <w:pStyle w:val="ListParagraph"/>
        <w:numPr>
          <w:ilvl w:val="0"/>
          <w:numId w:val="1"/>
        </w:numPr>
      </w:pPr>
      <w:r>
        <w:t xml:space="preserve">[ ] Separate transactional and marketing email flows</w:t>
      </w:r>
    </w:p>
    <w:p>
      <w:pPr>
        <w:pStyle w:val="ListParagraph"/>
        <w:numPr>
          <w:ilvl w:val="0"/>
          <w:numId w:val="1"/>
        </w:numPr>
      </w:pPr>
      <w:r>
        <w:t xml:space="preserve">[ ] Document lawful basis for each email communication type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