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Services detected: 22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22 detected service(s) that fall under 2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COPPA  |  Up to $50,120 per violation  |  $100K - $5.7M (FTC actions)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22 service(s) detected in @mastodon/mastodon, the following exposure areas have been identified:</w:t>
      </w:r>
    </w:p>
    <w:p>
      <w:pPr>
        <w:pStyle w:val="Heading3"/>
      </w:pPr>
      <w:r>
        <w:t>Authentication &amp; User Data (devise,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Email Services (ActionMailer,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(Active Storage, ActiveRecord, ActiveStorage, aws-sdk-s3, ioredis, pg, PostgreSQL, PostgreSQL (env), rails-activerecord, redis, Redis)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22 detected services (large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**$100,000 - $500,000**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$5,000,000 - $50,000,000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**$5,000,000 - $50,000,000**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($5,000,000 - $300,000) / $300,000 = 1,567%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COPPA.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22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