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Notes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Company: [Your Company Name]</w:t>
      </w:r>
    </w:p>
    <w:p>
      <w:r>
        <w:t xml:space="preserve">Last updated: 2026-03-16</w:t>
      </w:r>
    </w:p>
    <w:p>
      <w:r>
        <w:t xml:space="preserve">Project: @mastodon/mastodon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Compliance Timeline (`COMPLIANCE_TIMELINE.md`)</w:t>
      </w:r>
    </w:p>
    <w:p>
      <w:pPr>
        <w:pStyle w:val="ListParagraph"/>
        <w:numPr>
          <w:ilvl w:val="0"/>
          <w:numId w:val="1"/>
        </w:numPr>
      </w:pPr>
      <w:r>
        <w:t xml:space="preserve">Annual Review Checklist (`ANNUAL_REVIEW_CHECKLIST.md`)</w:t>
      </w:r>
    </w:p>
    <w:p>
      <w:pPr>
        <w:pStyle w:val="ListParagraph"/>
        <w:numPr>
          <w:ilvl w:val="0"/>
          <w:numId w:val="1"/>
        </w:numPr>
      </w:pPr>
      <w:r>
        <w:t xml:space="preserve">Regulatory Updates (`REGULATORY_UPDATES.md`)</w:t>
      </w:r>
    </w:p>
    <w:p>
      <w:pPr>
        <w:pBdr>
          <w:bottom w:val="single" w:sz="6" w:space="1" w:color="999999"/>
        </w:pBdr>
      </w:pPr>
    </w:p>
    <w:p>
      <w:r>
        <w:t xml:space="preserve">This document provides an overview of privacy and data protection regulations that may apply to your project based on the services detected in your codebase and your configured jurisdictions.</w:t>
      </w:r>
    </w:p>
    <w:p>
      <w:pPr>
        <w:ind w:left="720"/>
      </w:pPr>
      <w:r>
        <w:rPr>
          <w:i/>
          <w:color w:val="666666"/>
        </w:rPr>
        <w:t xml:space="preserve">**Disclaimer:** This is not legal advice. Consult qualified legal counsel to determine your specific compliance obligations.</w:t>
      </w:r>
    </w:p>
    <w:p>
      <w:pPr>
        <w:pStyle w:val="Heading2"/>
      </w:pPr>
      <w:r>
        <w:t>1. Detected Services Summary</w:t>
      </w:r>
    </w:p>
    <w:p>
      <w:r>
        <w:rPr>
          <w:sz w:val="20"/>
        </w:rPr>
        <w:t xml:space="preserve">Service  |  Category  |  Data Collected</w:t>
      </w:r>
    </w:p>
    <w:p>
      <w:r>
        <w:rPr>
          <w:sz w:val="20"/>
        </w:rPr>
        <w:t xml:space="preserve">ActionCable  |  Other  |  real-time user data, connection metadata, channel subscriptions</w:t>
      </w:r>
    </w:p>
    <w:p>
      <w:r>
        <w:rPr>
          <w:sz w:val="20"/>
        </w:rPr>
        <w:t xml:space="preserve">ActionController::Cookies  |  Other  |  session cookies, session data, CSRF tokens</w:t>
      </w:r>
    </w:p>
    <w:p>
      <w:r>
        <w:rPr>
          <w:sz w:val="20"/>
        </w:rPr>
        <w:t xml:space="preserve">ActionMailer  |  Email Service  |  email addresses, email content</w:t>
      </w:r>
    </w:p>
    <w:p>
      <w:r>
        <w:rPr>
          <w:sz w:val="20"/>
        </w:rPr>
        <w:t xml:space="preserve">Active Storage  |  File Storage  |  uploaded files, file metadata, storage service credentials</w:t>
      </w:r>
    </w:p>
    <w:p>
      <w:r>
        <w:rPr>
          <w:sz w:val="20"/>
        </w:rPr>
        <w:t xml:space="preserve">ActiveRecord  |  Database  |  user data as defined in schema, timestamps, associations</w:t>
      </w:r>
    </w:p>
    <w:p>
      <w:r>
        <w:rPr>
          <w:sz w:val="20"/>
        </w:rPr>
        <w:t xml:space="preserve">ActiveStorage  |  File Storage  |  uploaded files, file metadata, storage references</w:t>
      </w:r>
    </w:p>
    <w:p>
      <w:r>
        <w:rPr>
          <w:sz w:val="20"/>
        </w:rPr>
        <w:t xml:space="preserve">aws-sdk-s3  |  File Storage  |  uploaded files, file metadata</w:t>
      </w:r>
    </w:p>
    <w:p>
      <w:r>
        <w:rPr>
          <w:sz w:val="20"/>
        </w:rPr>
        <w:t xml:space="preserve">devise  |  Authentication  |  email, password hash, session data</w:t>
      </w:r>
    </w:p>
    <w:p>
      <w:r>
        <w:rPr>
          <w:sz w:val="20"/>
        </w:rPr>
        <w:t xml:space="preserve">ioredis  |  Database  |  cached data, session data</w:t>
      </w:r>
    </w:p>
    <w:p>
      <w:r>
        <w:rPr>
          <w:sz w:val="20"/>
        </w:rPr>
        <w:t xml:space="preserve">omniauth  |  Authentication  |  email, name, OAuth tokens</w:t>
      </w:r>
    </w:p>
    <w:p>
      <w:r>
        <w:rPr>
          <w:sz w:val="20"/>
        </w:rPr>
        <w:t xml:space="preserve">pg  |  Database  |  user data as defined in schema</w:t>
      </w:r>
    </w:p>
    <w:p>
      <w:r>
        <w:rPr>
          <w:sz w:val="20"/>
        </w:rPr>
        <w:t xml:space="preserve">PostgreSQL  |  Database  |  application data, user records</w:t>
      </w:r>
    </w:p>
    <w:p>
      <w:r>
        <w:rPr>
          <w:sz w:val="20"/>
        </w:rPr>
        <w:t xml:space="preserve">PostgreSQL (env)  |  Database  |  application data, user records</w:t>
      </w:r>
    </w:p>
    <w:p>
      <w:r>
        <w:rPr>
          <w:sz w:val="20"/>
        </w:rPr>
        <w:t xml:space="preserve">pundit  |  Authentication  |  user roles, authorization policies, access control data</w:t>
      </w:r>
    </w:p>
    <w:p>
      <w:r>
        <w:rPr>
          <w:sz w:val="20"/>
        </w:rPr>
        <w:t xml:space="preserve">rack-attack  |  Other  |  IP addresses, request metadata</w:t>
      </w:r>
    </w:p>
    <w:p>
      <w:r>
        <w:rPr>
          <w:sz w:val="20"/>
        </w:rPr>
        <w:t xml:space="preserve">rails-actionmailer  |  Email Service  |  email addresses, email content</w:t>
      </w:r>
    </w:p>
    <w:p>
      <w:r>
        <w:rPr>
          <w:sz w:val="20"/>
        </w:rPr>
        <w:t xml:space="preserve">rails-activerecord  |  Database  |  user data as defined in schema</w:t>
      </w:r>
    </w:p>
    <w:p>
      <w:r>
        <w:rPr>
          <w:sz w:val="20"/>
        </w:rPr>
        <w:t xml:space="preserve">rails-sessions  |  Authentication  |  session cookies, CSRF tokens</w:t>
      </w:r>
    </w:p>
    <w:p>
      <w:r>
        <w:rPr>
          <w:sz w:val="20"/>
        </w:rPr>
        <w:t xml:space="preserve">redis  |  Database  |  cached data, session data</w:t>
      </w:r>
    </w:p>
    <w:p>
      <w:r>
        <w:rPr>
          <w:sz w:val="20"/>
        </w:rPr>
        <w:t xml:space="preserve">Redis  |  Database  |  session data, cache data</w:t>
      </w:r>
    </w:p>
    <w:p>
      <w:r>
        <w:rPr>
          <w:sz w:val="20"/>
        </w:rPr>
        <w:t xml:space="preserve">sidekiq  |  Other  |  job data, user data processed in background jobs</w:t>
      </w:r>
    </w:p>
    <w:p>
      <w:r>
        <w:rPr>
          <w:sz w:val="20"/>
        </w:rPr>
        <w:t xml:space="preserve">ws (WebSocket)  |  Other  |  real-time user data, connection metadata, IP address</w:t>
      </w:r>
    </w:p>
    <w:p>
      <w:pPr>
        <w:pStyle w:val="Heading2"/>
      </w:pPr>
      <w:r>
        <w:t>2. General Data Protection Regulation (GDPR)</w:t>
      </w:r>
    </w:p>
    <w:p>
      <w:r>
        <w:t xml:space="preserve">Applies to: Processing of personal data of individuals in the EU/EEA</w:t>
      </w:r>
    </w:p>
    <w:p>
      <w:r>
        <w:t xml:space="preserve">Enforcement date: May 25, 2018</w:t>
      </w:r>
    </w:p>
    <w:p>
      <w:r>
        <w:t xml:space="preserve">Maximum fine: EUR 20 million or 4% of annual global turnover</w:t>
      </w:r>
    </w:p>
    <w:p>
      <w:pPr>
        <w:pStyle w:val="Heading3"/>
      </w:pPr>
      <w:r>
        <w:t>Key Requirements</w:t>
      </w:r>
    </w:p>
    <w:p>
      <w:pPr>
        <w:pStyle w:val="ListParagraph"/>
        <w:numPr>
          <w:ilvl w:val="0"/>
          <w:numId w:val="1"/>
        </w:numPr>
      </w:pPr>
      <w:r>
        <w:t xml:space="preserve">[ ] Identify a lawful basis for each processing activity (Art. 6)</w:t>
      </w:r>
    </w:p>
    <w:p>
      <w:pPr>
        <w:pStyle w:val="ListParagraph"/>
        <w:numPr>
          <w:ilvl w:val="0"/>
          <w:numId w:val="1"/>
        </w:numPr>
      </w:pPr>
      <w:r>
        <w:t xml:space="preserve">[ ] Provide a privacy notice covering all Art. 13 requirements</w:t>
      </w:r>
    </w:p>
    <w:p>
      <w:pPr>
        <w:pStyle w:val="ListParagraph"/>
        <w:numPr>
          <w:ilvl w:val="0"/>
          <w:numId w:val="1"/>
        </w:numPr>
      </w:pPr>
      <w:r>
        <w:t xml:space="preserve">[ ] Implement data subject rights procedures (access, rectification, erasure, portability, objection, restriction)</w:t>
      </w:r>
    </w:p>
    <w:p>
      <w:pPr>
        <w:pStyle w:val="ListParagraph"/>
        <w:numPr>
          <w:ilvl w:val="0"/>
          <w:numId w:val="1"/>
        </w:numPr>
      </w:pPr>
      <w:r>
        <w:t xml:space="preserve">[ ] Maintain a Record of Processing Activities (Art. 30)</w:t>
      </w:r>
    </w:p>
    <w:p>
      <w:pPr>
        <w:pStyle w:val="ListParagraph"/>
        <w:numPr>
          <w:ilvl w:val="0"/>
          <w:numId w:val="1"/>
        </w:numPr>
      </w:pPr>
      <w:r>
        <w:t xml:space="preserve">[ ] Conduct Data Protection Impact Assessments where required (Art. 35)</w:t>
      </w:r>
    </w:p>
    <w:p>
      <w:pPr>
        <w:pStyle w:val="ListParagraph"/>
        <w:numPr>
          <w:ilvl w:val="0"/>
          <w:numId w:val="1"/>
        </w:numPr>
      </w:pPr>
      <w:r>
        <w:t xml:space="preserve">[ ] Ensure appropriate technical and organisational security measures (Art. 32)</w:t>
      </w:r>
    </w:p>
    <w:p>
      <w:pPr>
        <w:pStyle w:val="ListParagraph"/>
        <w:numPr>
          <w:ilvl w:val="0"/>
          <w:numId w:val="1"/>
        </w:numPr>
      </w:pPr>
      <w:r>
        <w:t xml:space="preserve">[ ] Appoint a Data Protection Officer if required (Art. 37)</w:t>
      </w:r>
    </w:p>
    <w:p>
      <w:pPr>
        <w:pStyle w:val="ListParagraph"/>
        <w:numPr>
          <w:ilvl w:val="0"/>
          <w:numId w:val="1"/>
        </w:numPr>
      </w:pPr>
      <w:r>
        <w:t xml:space="preserve">[ ] Establish data breach notification procedures (72-hour requirement, Art. 33)</w:t>
      </w:r>
    </w:p>
    <w:p>
      <w:pPr>
        <w:pStyle w:val="Heading2"/>
      </w:pPr>
      <w:r>
        <w:t>3. ePrivacy Directive (2002/58/EC)</w:t>
      </w:r>
    </w:p>
    <w:p>
      <w:r>
        <w:t xml:space="preserve">Applies to: Any service that uses cookies or similar tracking technologies for users in the EU/EEA</w:t>
      </w:r>
    </w:p>
    <w:p>
      <w:r>
        <w:t xml:space="preserve">Key article: Article 5(3) — prior opt-in consent for non-essential cookies</w:t>
      </w:r>
    </w:p>
    <w:p>
      <w:r>
        <w:t xml:space="preserve">Enforcement: National data protection authorities (e.g., CNIL fined SHEIN EUR 150M in 2026)</w:t>
      </w:r>
    </w:p>
    <w:p>
      <w:pPr>
        <w:pStyle w:val="Heading3"/>
      </w:pPr>
      <w:r>
        <w:t>Key Requirements</w:t>
      </w:r>
    </w:p>
    <w:p>
      <w:pPr>
        <w:pStyle w:val="ListParagraph"/>
        <w:numPr>
          <w:ilvl w:val="0"/>
          <w:numId w:val="1"/>
        </w:numPr>
      </w:pPr>
      <w:r>
        <w:t xml:space="preserve">[ ] Obtain prior opt-in consent before setting non-essential cookies</w:t>
      </w:r>
    </w:p>
    <w:p>
      <w:pPr>
        <w:pStyle w:val="ListParagraph"/>
        <w:numPr>
          <w:ilvl w:val="0"/>
          <w:numId w:val="1"/>
        </w:numPr>
      </w:pPr>
      <w:r>
        <w:t xml:space="preserve">[ ] Provide granular cookie consent controls (accept analytics but reject marketing)</w:t>
      </w:r>
    </w:p>
    <w:p>
      <w:pPr>
        <w:pStyle w:val="ListParagraph"/>
        <w:numPr>
          <w:ilvl w:val="0"/>
          <w:numId w:val="1"/>
        </w:numPr>
      </w:pPr>
      <w:r>
        <w:t xml:space="preserve">[ ] Ensure equal access to service regardless of cookie consent decision</w:t>
      </w:r>
    </w:p>
    <w:p>
      <w:pPr>
        <w:pStyle w:val="ListParagraph"/>
        <w:numPr>
          <w:ilvl w:val="0"/>
          <w:numId w:val="1"/>
        </w:numPr>
      </w:pPr>
      <w:r>
        <w:t xml:space="preserve">[ ] Make consent withdrawal as easy as giving consent</w:t>
      </w:r>
    </w:p>
    <w:p>
      <w:pPr>
        <w:pStyle w:val="ListParagraph"/>
        <w:numPr>
          <w:ilvl w:val="0"/>
          <w:numId w:val="1"/>
        </w:numPr>
      </w:pPr>
      <w:r>
        <w:t xml:space="preserve">[ ] Document and store consent records</w:t>
      </w:r>
    </w:p>
    <w:p>
      <w:pPr>
        <w:pStyle w:val="ListParagraph"/>
        <w:numPr>
          <w:ilvl w:val="0"/>
          <w:numId w:val="1"/>
        </w:numPr>
      </w:pPr>
      <w:r>
        <w:t xml:space="preserve">[ ] Implement complete consent signaling from banner through CMP to all tracking tools</w:t>
      </w:r>
    </w:p>
    <w:p>
      <w:pPr>
        <w:ind w:left="720"/>
      </w:pPr>
      <w:r>
        <w:rPr>
          <w:i/>
          <w:color w:val="666666"/>
        </w:rPr>
        <w:t xml:space="preserve">See the generated **Cookie Policy** document for details on detected cookies and tracking technologies.</w:t>
      </w:r>
    </w:p>
    <w:p>
      <w:pPr>
        <w:pStyle w:val="Heading2"/>
      </w:pPr>
      <w:r>
        <w:t>4. Children's Online Privacy Protection Act (COPPA)</w:t>
      </w:r>
    </w:p>
    <w:p>
      <w:r>
        <w:t xml:space="preserve">Applies to: Websites and online services directed at children under 13, or that knowingly collect personal information from children under 13</w:t>
      </w:r>
    </w:p>
    <w:p>
      <w:r>
        <w:t xml:space="preserve">Enforcement: U.S. Federal Trade Commission (FTC)</w:t>
      </w:r>
    </w:p>
    <w:p>
      <w:r>
        <w:t xml:space="preserve">Maximum civil penalty: $50,120 per violation (2024 adjusted amount)</w:t>
      </w:r>
    </w:p>
    <w:p>
      <w:pPr>
        <w:pStyle w:val="Heading3"/>
      </w:pPr>
      <w:r>
        <w:t>Key Requirements</w:t>
      </w:r>
    </w:p>
    <w:p>
      <w:pPr>
        <w:pStyle w:val="ListParagraph"/>
        <w:numPr>
          <w:ilvl w:val="0"/>
          <w:numId w:val="1"/>
        </w:numPr>
      </w:pPr>
      <w:r>
        <w:t xml:space="preserve">[ ] Post a clear and comprehensive privacy policy describing data practices for children's information</w:t>
      </w:r>
    </w:p>
    <w:p>
      <w:pPr>
        <w:pStyle w:val="ListParagraph"/>
        <w:numPr>
          <w:ilvl w:val="0"/>
          <w:numId w:val="1"/>
        </w:numPr>
      </w:pPr>
      <w:r>
        <w:t xml:space="preserve">[ ] Obtain verifiable parental consent before collecting personal information from children under 13 (16 CFR § 312.5)</w:t>
      </w:r>
    </w:p>
    <w:p>
      <w:pPr>
        <w:pStyle w:val="ListParagraph"/>
        <w:numPr>
          <w:ilvl w:val="0"/>
          <w:numId w:val="1"/>
        </w:numPr>
      </w:pPr>
      <w:r>
        <w:t xml:space="preserve">[ ] Provide parents with direct notice of data collection practices (§ 312.4)</w:t>
      </w:r>
    </w:p>
    <w:p>
      <w:pPr>
        <w:pStyle w:val="ListParagraph"/>
        <w:numPr>
          <w:ilvl w:val="0"/>
          <w:numId w:val="1"/>
        </w:numPr>
      </w:pPr>
      <w:r>
        <w:t xml:space="preserve">[ ] Allow parents to review personal information collected from their child (§ 312.6)</w:t>
      </w:r>
    </w:p>
    <w:p>
      <w:pPr>
        <w:pStyle w:val="ListParagraph"/>
        <w:numPr>
          <w:ilvl w:val="0"/>
          <w:numId w:val="1"/>
        </w:numPr>
      </w:pPr>
      <w:r>
        <w:t xml:space="preserve">[ ] Allow parents to revoke consent and request deletion of their child's data (§ 312.6)</w:t>
      </w:r>
    </w:p>
    <w:p>
      <w:pPr>
        <w:pStyle w:val="ListParagraph"/>
        <w:numPr>
          <w:ilvl w:val="0"/>
          <w:numId w:val="1"/>
        </w:numPr>
      </w:pPr>
      <w:r>
        <w:t xml:space="preserve">[ ] Do not condition a child's participation on collecting more data than reasonably necessary (§ 312.7)</w:t>
      </w:r>
    </w:p>
    <w:p>
      <w:pPr>
        <w:pStyle w:val="ListParagraph"/>
        <w:numPr>
          <w:ilvl w:val="0"/>
          <w:numId w:val="1"/>
        </w:numPr>
      </w:pPr>
      <w:r>
        <w:t xml:space="preserve">[ ] Implement reasonable data security measures to protect children's information (§ 312.8)</w:t>
      </w:r>
    </w:p>
    <w:p>
      <w:pPr>
        <w:pStyle w:val="ListParagraph"/>
        <w:numPr>
          <w:ilvl w:val="0"/>
          <w:numId w:val="1"/>
        </w:numPr>
      </w:pPr>
      <w:r>
        <w:t xml:space="preserve">[ ] Retain children's personal information only as long as necessary to fulfill the purpose for which it was collected (§ 312.10)</w:t>
      </w:r>
    </w:p>
    <w:p>
      <w:pPr>
        <w:pStyle w:val="ListParagraph"/>
        <w:numPr>
          <w:ilvl w:val="0"/>
          <w:numId w:val="1"/>
        </w:numPr>
      </w:pPr>
      <w:r>
        <w:t xml:space="preserve">[ ] Ensure all third-party operators and service providers maintain COPPA compliance (§ 312.2)</w:t>
      </w:r>
    </w:p>
    <w:p>
      <w:pPr>
        <w:pStyle w:val="ListParagraph"/>
        <w:numPr>
          <w:ilvl w:val="0"/>
          <w:numId w:val="1"/>
        </w:numPr>
      </w:pPr>
      <w:r>
        <w:t xml:space="preserve">[ ] Implement an age-screening mechanism before data collection</w:t>
      </w:r>
    </w:p>
    <w:p>
      <w:pPr>
        <w:pStyle w:val="Heading2"/>
      </w:pPr>
      <w:r>
        <w:t>5. Infrastructure Considerations</w:t>
      </w:r>
    </w:p>
    <w:p>
      <w:r>
        <w:t xml:space="preserve">Codepliant detected infrastructure configuration files (Dockerfiles, docker-compose, Kubernetes manifests) that have compliance implications.</w:t>
      </w:r>
    </w:p>
    <w:p>
      <w:pPr>
        <w:pStyle w:val="Heading3"/>
      </w:pPr>
      <w:r>
        <w:t>Key Requirements</w:t>
      </w:r>
    </w:p>
    <w:p>
      <w:pPr>
        <w:pStyle w:val="ListParagraph"/>
        <w:numPr>
          <w:ilvl w:val="0"/>
          <w:numId w:val="1"/>
        </w:numPr>
      </w:pPr>
      <w:r>
        <w:t xml:space="preserve">[ ] Document data stored in persistent volumes and define retention periods</w:t>
      </w:r>
    </w:p>
    <w:p>
      <w:pPr>
        <w:pStyle w:val="ListParagraph"/>
        <w:numPr>
          <w:ilvl w:val="0"/>
          <w:numId w:val="1"/>
        </w:numPr>
      </w:pPr>
      <w:r>
        <w:t xml:space="preserve">[ ] Implement backup and disaster recovery procedures for persistent data</w:t>
      </w:r>
    </w:p>
    <w:p>
      <w:pPr>
        <w:pStyle w:val="ListParagraph"/>
        <w:numPr>
          <w:ilvl w:val="0"/>
          <w:numId w:val="1"/>
        </w:numPr>
      </w:pPr>
      <w:r>
        <w:t xml:space="preserve">[ ] Ensure persistent data is encrypted at rest where required by regulation</w:t>
      </w:r>
    </w:p>
    <w:p>
      <w:pPr>
        <w:pStyle w:val="ListParagraph"/>
        <w:numPr>
          <w:ilvl w:val="0"/>
          <w:numId w:val="1"/>
        </w:numPr>
      </w:pPr>
      <w:r>
        <w:t xml:space="preserve">[ ] Maintain an inventory of all infrastructure services and their data flows</w:t>
      </w:r>
    </w:p>
    <w:p>
      <w:pPr>
        <w:pStyle w:val="Heading2"/>
      </w:pPr>
      <w:r>
        <w:t>6. Recommended Next Steps</w:t>
      </w:r>
    </w:p>
    <w:p>
      <w:pPr>
        <w:pStyle w:val="ListParagraph"/>
        <w:numPr>
          <w:ilvl w:val="0"/>
          <w:numId w:val="2"/>
        </w:numPr>
      </w:pPr>
      <w:r>
        <w:t xml:space="preserve">Review all generated compliance documents with qualified legal counsel</w:t>
      </w:r>
    </w:p>
    <w:p>
      <w:pPr>
        <w:pStyle w:val="ListParagraph"/>
        <w:numPr>
          <w:ilvl w:val="0"/>
          <w:numId w:val="2"/>
        </w:numPr>
      </w:pPr>
      <w:r>
        <w:t xml:space="preserve">Complete the checklist items marked above for each applicable regulation</w:t>
      </w:r>
    </w:p>
    <w:p>
      <w:pPr>
        <w:pStyle w:val="ListParagraph"/>
        <w:numPr>
          <w:ilvl w:val="0"/>
          <w:numId w:val="2"/>
        </w:numPr>
      </w:pPr>
      <w:r>
        <w:t xml:space="preserve">Implement technical measures (consent management, data subject request handling)</w:t>
      </w:r>
    </w:p>
    <w:p>
      <w:pPr>
        <w:pStyle w:val="ListParagraph"/>
        <w:numPr>
          <w:ilvl w:val="0"/>
          <w:numId w:val="2"/>
        </w:numPr>
      </w:pPr>
      <w:r>
        <w:t xml:space="preserve">Train relevant staff on data protection obligations</w:t>
      </w:r>
    </w:p>
    <w:p>
      <w:pPr>
        <w:pStyle w:val="ListParagraph"/>
        <w:numPr>
          <w:ilvl w:val="0"/>
          <w:numId w:val="2"/>
        </w:numPr>
      </w:pPr>
      <w:r>
        <w:t xml:space="preserve">Set up regular compliance reviews (recommended: quarterly)</w:t>
      </w:r>
    </w:p>
    <w:p>
      <w:pPr>
        <w:pStyle w:val="ListParagraph"/>
        <w:numPr>
          <w:ilvl w:val="0"/>
          <w:numId w:val="2"/>
        </w:numPr>
      </w:pPr>
      <w:r>
        <w:t xml:space="preserve">Re-run Codepliant after adding or removing services to keep documents current</w:t>
      </w:r>
    </w:p>
    <w:p>
      <w:pPr>
        <w:pBdr>
          <w:bottom w:val="single" w:sz="6" w:space="1" w:color="999999"/>
        </w:pBdr>
      </w:pPr>
    </w:p>
    <w:p>
      <w:r>
        <w:t xml:space="preserve">This compliance notes document was generated by [Codepliant](https://github.com/joechensmartz/codepliant) based on automated code analysis. It is for informational purposes only and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