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@mastodon/mastodon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pPr>
        <w:pStyle w:val="Heading2"/>
      </w:pPr>
      <w:r>
        <w:t>2. Project-Specific Obligations</w:t>
      </w:r>
    </w:p>
    <w:p>
      <w:r>
        <w:t xml:space="preserve">Based on the 22 service(s) detected in @mastodon/mastodon, the following obligations apply:</w:t>
      </w:r>
    </w:p>
    <w:p>
      <w:pPr>
        <w:pStyle w:val="Heading3"/>
      </w:pPr>
      <w:r>
        <w:t>Authentication Services (devise,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(ActionMailer,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(Active Storage, ActiveRecord, ActiveStorage, aws-sdk-s3, ioredis, pg, PostgreSQL, PostgreSQL (env), rails-activerecord, redis, Redis)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