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@mastodon/mastodon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95</w:t>
      </w:r>
    </w:p>
    <w:p>
      <w:r>
        <w:rPr>
          <w:sz w:val="20"/>
        </w:rPr>
        <w:t xml:space="preserve">**Services**  |  22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95 documents have been generated for 22 services, significant work is needed to reach an acceptable compliance level.</w:t>
      </w:r>
    </w:p>
    <w:p>
      <w:pPr>
        <w:pStyle w:val="Heading3"/>
      </w:pPr>
      <w:r>
        <w:t>2. Top Risk: Third-Party Data Sharing</w:t>
      </w:r>
    </w:p>
    <w:p>
      <w:r>
        <w:t xml:space="preserve">22 third-party services share or process user data. Each requires documented Data Processing Agreements (GDPR Art. 28) and inclusion in the sub-processor list. Ensure all agreements are current.</w:t>
      </w:r>
    </w:p>
    <w:p>
      <w:r>
        <w:t xml:space="preserve">Potential exposure: Up to EUR 20 million under GDPR for inadequate processor agreements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22 third-party services detected across 5 categories:</w:t>
      </w:r>
    </w:p>
    <w:p>
      <w:pPr>
        <w:pStyle w:val="ListParagraph"/>
        <w:numPr>
          <w:ilvl w:val="0"/>
          <w:numId w:val="1"/>
        </w:numPr>
      </w:pPr>
      <w:r>
        <w:t xml:space="preserve">**other:** ActionCable, ActionController::Cookies, rack-attack, sidekiq, ws (WebSocket)</w:t>
      </w:r>
    </w:p>
    <w:p>
      <w:pPr>
        <w:pStyle w:val="ListParagraph"/>
        <w:numPr>
          <w:ilvl w:val="0"/>
          <w:numId w:val="1"/>
        </w:numPr>
      </w:pPr>
      <w:r>
        <w:t xml:space="preserve">**email:** ActionMailer,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**storage:**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**database:** ActiveRecord, ioredis, pg, PostgreSQL, PostgreSQL (env), rails-activerecord, redis, Redis</w:t>
      </w:r>
    </w:p>
    <w:p>
      <w:pPr>
        <w:pStyle w:val="ListParagraph"/>
        <w:numPr>
          <w:ilvl w:val="0"/>
          <w:numId w:val="1"/>
        </w:numPr>
      </w:pPr>
      <w:r>
        <w:t xml:space="preserve">**auth:** devise, omniauth, pundit, rails-sessions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