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22</w:t>
      </w:r>
    </w:p>
    <w:p>
      <w:r>
        <w:rPr>
          <w:sz w:val="20"/>
        </w:rPr>
        <w:t xml:space="preserve">Service categories  |  other, email, storage, database, auth</w:t>
      </w:r>
    </w:p>
    <w:p>
      <w:r>
        <w:rPr>
          <w:sz w:val="20"/>
        </w:rPr>
        <w:t xml:space="preserve">DPA agreements in place  |  [N] / 22</w:t>
      </w:r>
    </w:p>
    <w:p>
      <w:r>
        <w:rPr>
          <w:sz w:val="20"/>
        </w:rPr>
        <w:t xml:space="preserve">Vendor security reviews completed  |  [N] / 22</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