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Deletion Procedures</w:t>
      </w:r>
    </w:p>
    <w:p>
      <w:pPr>
        <w:ind w:left="720"/>
      </w:pPr>
      <w:r>
        <w:rPr>
          <w:i/>
          <w:color w:val="666666"/>
        </w:rPr>
        <w:t xml:space="preserve">**[Your Company Name]** — GDPR Art. 17 Right to Erasure Implementation Guide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provides step-by-step data deletion procedures for every third-party service used by [Your Company Name]. When a data subject exercises their right to erasure under GDPR Article 17, CCPA/CPRA, or other applicable privacy laws, staff must follow these procedures to ensure complete deletion across all systems.</w:t>
      </w:r>
    </w:p>
    <w:p>
      <w:pPr>
        <w:pStyle w:val="Heading2"/>
      </w:pPr>
      <w:r>
        <w:t>2. Legal Basis</w:t>
      </w:r>
    </w:p>
    <w:p>
      <w:r>
        <w:t xml:space="preserve">Under GDPR Article 17, data subjects have the right to obtain erasure of their personal data when:</w:t>
      </w:r>
    </w:p>
    <w:p>
      <w:pPr>
        <w:pStyle w:val="ListParagraph"/>
        <w:numPr>
          <w:ilvl w:val="0"/>
          <w:numId w:val="1"/>
        </w:numPr>
      </w:pPr>
      <w:r>
        <w:t xml:space="preserve">The data is no longer necessary for its original purpose</w:t>
      </w:r>
    </w:p>
    <w:p>
      <w:pPr>
        <w:pStyle w:val="ListParagraph"/>
        <w:numPr>
          <w:ilvl w:val="0"/>
          <w:numId w:val="1"/>
        </w:numPr>
      </w:pPr>
      <w:r>
        <w:t xml:space="preserve">The data subject withdraws consent (where consent was the lawful basis)</w:t>
      </w:r>
    </w:p>
    <w:p>
      <w:pPr>
        <w:pStyle w:val="ListParagraph"/>
        <w:numPr>
          <w:ilvl w:val="0"/>
          <w:numId w:val="1"/>
        </w:numPr>
      </w:pPr>
      <w:r>
        <w:t xml:space="preserve">The data subject objects to processing and there are no overriding legitimate grounds</w:t>
      </w:r>
    </w:p>
    <w:p>
      <w:pPr>
        <w:pStyle w:val="ListParagraph"/>
        <w:numPr>
          <w:ilvl w:val="0"/>
          <w:numId w:val="1"/>
        </w:numPr>
      </w:pPr>
      <w:r>
        <w:t xml:space="preserve">The data has been unlawfully processed</w:t>
      </w:r>
    </w:p>
    <w:p>
      <w:pPr>
        <w:pStyle w:val="ListParagraph"/>
        <w:numPr>
          <w:ilvl w:val="0"/>
          <w:numId w:val="1"/>
        </w:numPr>
      </w:pPr>
      <w:r>
        <w:t xml:space="preserve">Erasure is required for compliance with a legal obligation</w:t>
      </w:r>
    </w:p>
    <w:p>
      <w:r>
        <w:t xml:space="preserve">Response deadline: 1 month from receipt of request (extendable by 2 months for complex requests).</w:t>
      </w:r>
    </w:p>
    <w:p>
      <w:pPr>
        <w:pStyle w:val="Heading2"/>
      </w:pPr>
      <w:r>
        <w:t>3. Pre-Deletion Checklist</w:t>
      </w:r>
    </w:p>
    <w:p>
      <w:r>
        <w:t xml:space="preserve">Before executing deletion across services:</w:t>
      </w:r>
    </w:p>
    <w:p>
      <w:pPr>
        <w:pStyle w:val="ListParagraph"/>
        <w:numPr>
          <w:ilvl w:val="0"/>
          <w:numId w:val="1"/>
        </w:numPr>
      </w:pPr>
      <w:r>
        <w:t xml:space="preserve">[ ] Verify the data subject's identity</w:t>
      </w:r>
    </w:p>
    <w:p>
      <w:pPr>
        <w:pStyle w:val="ListParagraph"/>
        <w:numPr>
          <w:ilvl w:val="0"/>
          <w:numId w:val="1"/>
        </w:numPr>
      </w:pPr>
      <w:r>
        <w:t xml:space="preserve">[ ] Confirm the request is valid (not subject to Art. 17(3) exceptions)</w:t>
      </w:r>
    </w:p>
    <w:p>
      <w:pPr>
        <w:pStyle w:val="ListParagraph"/>
        <w:numPr>
          <w:ilvl w:val="0"/>
          <w:numId w:val="1"/>
        </w:numPr>
      </w:pPr>
      <w:r>
        <w:t xml:space="preserve">[ ] Document the request in the DSAR register</w:t>
      </w:r>
    </w:p>
    <w:p>
      <w:pPr>
        <w:pStyle w:val="ListParagraph"/>
        <w:numPr>
          <w:ilvl w:val="0"/>
          <w:numId w:val="1"/>
        </w:numPr>
      </w:pPr>
      <w:r>
        <w:t xml:space="preserve">[ ] Identify all systems containing the data subject's personal data</w:t>
      </w:r>
    </w:p>
    <w:p>
      <w:pPr>
        <w:pStyle w:val="ListParagraph"/>
        <w:numPr>
          <w:ilvl w:val="0"/>
          <w:numId w:val="1"/>
        </w:numPr>
      </w:pPr>
      <w:r>
        <w:t xml:space="preserve">[ ] Check for legal hold or regulatory retention obligations</w:t>
      </w:r>
    </w:p>
    <w:p>
      <w:pPr>
        <w:pStyle w:val="ListParagraph"/>
        <w:numPr>
          <w:ilvl w:val="0"/>
          <w:numId w:val="1"/>
        </w:numPr>
      </w:pPr>
      <w:r>
        <w:t xml:space="preserve">[ ] Export data if the subject also requested portability (Art. 20)</w:t>
      </w:r>
    </w:p>
    <w:p>
      <w:pPr>
        <w:pStyle w:val="ListParagraph"/>
        <w:numPr>
          <w:ilvl w:val="0"/>
          <w:numId w:val="1"/>
        </w:numPr>
      </w:pPr>
      <w:r>
        <w:t xml:space="preserve">[ ] Notify the DPO ([your-email@example.com]) before proceeding</w:t>
      </w:r>
    </w:p>
    <w:p>
      <w:pPr>
        <w:pStyle w:val="Heading2"/>
      </w:pPr>
      <w:r>
        <w:t>4. Per-Service Deletion Procedures</w:t>
      </w:r>
    </w:p>
    <w:p>
      <w:pPr>
        <w:pStyle w:val="Heading3"/>
      </w:pPr>
      <w:r>
        <w:t>4.1. Other Services</w:t>
      </w:r>
    </w:p>
    <w:p>
      <w:pPr>
        <w:pStyle w:val="Heading4"/>
      </w:pPr>
      <w:r>
        <w:t>ActionCable</w:t>
      </w:r>
    </w:p>
    <w:p>
      <w:r>
        <w:t xml:space="preserve">Data collected: real-time user data, connection metadata, channel subscriptions, WebSocket messages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ActionCable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ActionCable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ActionCable's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ActionCable's privacy policy for data retention disclosures</w:t>
      </w:r>
    </w:p>
    <w:p>
      <w:pPr>
        <w:pStyle w:val="Heading4"/>
      </w:pPr>
      <w:r>
        <w:t>ActionController::Cookies</w:t>
      </w:r>
    </w:p>
    <w:p>
      <w:r>
        <w:t xml:space="preserve">Data collected: session cookies, session data, CSRF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ActionController::Cookies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ActionController::Cookies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ActionController::Cookies's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ActionController::Cookies's privacy policy for data retention disclosures</w:t>
      </w:r>
    </w:p>
    <w:p>
      <w:pPr>
        <w:pStyle w:val="Heading4"/>
      </w:pPr>
      <w:r>
        <w:t>rack-attack</w:t>
      </w:r>
    </w:p>
    <w:p>
      <w:r>
        <w:t xml:space="preserve">Data collected: IP addresses, request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rack-attack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rack-attack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rack-attack's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rack-attack's privacy policy for data retention disclosures</w:t>
      </w:r>
    </w:p>
    <w:p>
      <w:pPr>
        <w:pStyle w:val="Heading4"/>
      </w:pPr>
      <w:r>
        <w:t>sidekiq</w:t>
      </w:r>
    </w:p>
    <w:p>
      <w:r>
        <w:t xml:space="preserve">Data collected: job data, user data processed in background jobs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sidekiq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sidekiq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sidekiq's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sidekiq's privacy policy for data retention disclosures</w:t>
      </w:r>
    </w:p>
    <w:p>
      <w:pPr>
        <w:pStyle w:val="Heading4"/>
      </w:pPr>
      <w:r>
        <w:t>ws (WebSocket)</w:t>
      </w:r>
    </w:p>
    <w:p>
      <w:r>
        <w:t xml:space="preserve">Data collected: real-time user data, connection metadata, IP address, WebSocket messages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ws (WebSocket)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ws (WebSocket)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ws (WebSocket)'s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ws (WebSocket)'s privacy policy for data retention disclosures</w:t>
      </w:r>
    </w:p>
    <w:p>
      <w:pPr>
        <w:pStyle w:val="Heading3"/>
      </w:pPr>
      <w:r>
        <w:t>4.2. Email &amp; Communication</w:t>
      </w:r>
    </w:p>
    <w:p>
      <w:pPr>
        <w:pStyle w:val="Heading4"/>
      </w:pPr>
      <w:r>
        <w:t>ActionMailer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ActionMailer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ActionMailer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ActionMailer's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ActionMailer's privacy policy for data retention disclosures</w:t>
      </w:r>
    </w:p>
    <w:p>
      <w:pPr>
        <w:pStyle w:val="Heading4"/>
      </w:pPr>
      <w:r>
        <w:t>rails-actionmailer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rails-actionmailer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rails-actionmailer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rails-actionmailer's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rails-actionmailer's privacy policy for data retention disclosures</w:t>
      </w:r>
    </w:p>
    <w:p>
      <w:pPr>
        <w:pStyle w:val="Heading3"/>
      </w:pPr>
      <w:r>
        <w:t>4.3. Storage &amp; Database</w:t>
      </w:r>
    </w:p>
    <w:p>
      <w:pPr>
        <w:pStyle w:val="Heading4"/>
      </w:pPr>
      <w:r>
        <w:t>Active Storage</w:t>
      </w:r>
    </w:p>
    <w:p>
      <w:r>
        <w:t xml:space="preserve">Data collected: uploaded files, file metadata, storage service credentials, potential PII in uploaded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Active Storage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Active Storage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Active Storage's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Active Storage's privacy policy for data retention disclosures</w:t>
      </w:r>
    </w:p>
    <w:p>
      <w:pPr>
        <w:pStyle w:val="Heading4"/>
      </w:pPr>
      <w:r>
        <w:t>ActiveStorage</w:t>
      </w:r>
    </w:p>
    <w:p>
      <w:r>
        <w:t xml:space="preserve">Data collected: uploaded files, file metadata, storage references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ActiveStorage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ActiveStorage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ActiveStorage's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ActiveStorage's privacy policy for data retention disclosures</w:t>
      </w:r>
    </w:p>
    <w:p>
      <w:pPr>
        <w:pStyle w:val="Heading4"/>
      </w:pPr>
      <w:r>
        <w:t>aws-sdk-s3</w:t>
      </w:r>
    </w:p>
    <w:p>
      <w:r>
        <w:t xml:space="preserve">Data collected: uploaded files, file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aws-sdk-s3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aws-sdk-s3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aws-sdk-s3's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aws-sdk-s3's privacy policy for data retention disclosures</w:t>
      </w:r>
    </w:p>
    <w:p>
      <w:pPr>
        <w:pStyle w:val="Heading3"/>
      </w:pPr>
      <w:r>
        <w:t>4.4. Database</w:t>
      </w:r>
    </w:p>
    <w:p>
      <w:pPr>
        <w:pStyle w:val="Heading4"/>
      </w:pPr>
      <w:r>
        <w:t>ActiveRecord</w:t>
      </w:r>
    </w:p>
    <w:p>
      <w:r>
        <w:t xml:space="preserve">Data collected: user data as defined in schema, timestamps, associations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ActiveRecord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ActiveRecord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ActiveRecord's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ActiveRecord's privacy policy for data retention disclosures</w:t>
      </w:r>
    </w:p>
    <w:p>
      <w:pPr>
        <w:pStyle w:val="Heading4"/>
      </w:pPr>
      <w:r>
        <w:t>ioredis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ioredis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ioredis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ioredis's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ioredis's privacy policy for data retention disclosures</w:t>
      </w:r>
    </w:p>
    <w:p>
      <w:pPr>
        <w:pStyle w:val="Heading4"/>
      </w:pPr>
      <w:r>
        <w:t>pg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pg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pg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pg's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pg's privacy policy for data retention disclosures</w:t>
      </w:r>
    </w:p>
    <w:p>
      <w:pPr>
        <w:pStyle w:val="Heading4"/>
      </w:pPr>
      <w:r>
        <w:t>PostgreSQL</w:t>
      </w:r>
    </w:p>
    <w:p>
      <w:r>
        <w:t xml:space="preserve">Data collected: application data, user records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PostgreSQL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PostgreSQL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PostgreSQL's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PostgreSQL's privacy policy for data retention disclosures</w:t>
      </w:r>
    </w:p>
    <w:p>
      <w:pPr>
        <w:pStyle w:val="Heading4"/>
      </w:pPr>
      <w:r>
        <w:t>PostgreSQL (env)</w:t>
      </w:r>
    </w:p>
    <w:p>
      <w:r>
        <w:t xml:space="preserve">Data collected: application data, user records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PostgreSQL (env)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PostgreSQL (env)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PostgreSQL (env)'s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PostgreSQL (env)'s privacy policy for data retention disclosures</w:t>
      </w:r>
    </w:p>
    <w:p>
      <w:pPr>
        <w:pStyle w:val="Heading4"/>
      </w:pPr>
      <w:r>
        <w:t>rails-activerecord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rails-activerecord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rails-activerecord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rails-activerecord's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rails-activerecord's privacy policy for data retention disclosures</w:t>
      </w:r>
    </w:p>
    <w:p>
      <w:pPr>
        <w:pStyle w:val="Heading4"/>
      </w:pPr>
      <w:r>
        <w:t>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redis's privacy policy for data retention disclosures</w:t>
      </w:r>
    </w:p>
    <w:p>
      <w:pPr>
        <w:pStyle w:val="Heading4"/>
      </w:pPr>
      <w:r>
        <w:t>Redis</w:t>
      </w:r>
    </w:p>
    <w:p>
      <w:r>
        <w:t xml:space="preserve">Data collected: session data, cache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Redis's privacy policy for data retention disclosures</w:t>
      </w:r>
    </w:p>
    <w:p>
      <w:pPr>
        <w:pStyle w:val="Heading3"/>
      </w:pPr>
      <w:r>
        <w:t>4.5. Authentication &amp; Identity</w:t>
      </w:r>
    </w:p>
    <w:p>
      <w:pPr>
        <w:pStyle w:val="Heading4"/>
      </w:pPr>
      <w:r>
        <w:t>devise</w:t>
      </w:r>
    </w:p>
    <w:p>
      <w:r>
        <w:t xml:space="preserve">Data collected: email, password hash, session data, authentication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devise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devise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devise's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devise's privacy policy for data retention disclosures</w:t>
      </w:r>
    </w:p>
    <w:p>
      <w:pPr>
        <w:pStyle w:val="Heading4"/>
      </w:pPr>
      <w:r>
        <w:t>omniauth</w:t>
      </w:r>
    </w:p>
    <w:p>
      <w:r>
        <w:t xml:space="preserve">Data collected: email, name, OAuth tokens, profile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omniauth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omniauth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omniauth's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omniauth's privacy policy for data retention disclosures</w:t>
      </w:r>
    </w:p>
    <w:p>
      <w:pPr>
        <w:pStyle w:val="Heading4"/>
      </w:pPr>
      <w:r>
        <w:t>pundit</w:t>
      </w:r>
    </w:p>
    <w:p>
      <w:r>
        <w:t xml:space="preserve">Data collected: user roles, authorization policies, access control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pundit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pundit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pundit's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pundit's privacy policy for data retention disclosures</w:t>
      </w:r>
    </w:p>
    <w:p>
      <w:pPr>
        <w:pStyle w:val="Heading4"/>
      </w:pPr>
      <w:r>
        <w:t>rails-sessions</w:t>
      </w:r>
    </w:p>
    <w:p>
      <w:r>
        <w:t xml:space="preserve">Data collected: session cookies, CSRF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rails-sessions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rails-sessions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rails-sessions's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rails-sessions's privacy policy for data retention disclosures</w:t>
      </w:r>
    </w:p>
    <w:p>
      <w:pPr>
        <w:pStyle w:val="Heading2"/>
      </w:pPr>
      <w:r>
        <w:t>5. Internal Database Deletion</w:t>
      </w:r>
    </w:p>
    <w:p>
      <w:r>
        <w:t xml:space="preserve">In addition to third-party services, delete the data subject's records from internal databases: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-- Example deletion queries (adapt to your schema)</w:t>
      </w:r>
    </w:p>
    <w:p>
      <w:pPr>
        <w:pStyle w:val="Code"/>
      </w:pPr>
      <w:r>
        <w:rPr>
          <w:rFonts w:ascii="Courier New" w:hAnsi="Courier New"/>
          <w:sz w:val="18"/>
        </w:rPr>
        <w:t xml:space="preserve">BEGIN TRANSACTION;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user profile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users WHERE email = :subject_email;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associated records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user_sessions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user_preferences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audit_logs WHERE user_id = :subject_id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AND retention_required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Anonymise records that must be retained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orders SET customer_email = 'deleted@anonymised.local',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customer_name = 'DELETED'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WHERE customer_id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COMMIT;</w:t>
      </w:r>
    </w:p>
    <w:p>
      <w:pPr>
        <w:pStyle w:val="Heading2"/>
      </w:pPr>
      <w:r>
        <w:t>6. Verification &amp; Documentation</w:t>
      </w:r>
    </w:p>
    <w:p>
      <w:r>
        <w:t xml:space="preserve">After executing deletion across all systems:</w:t>
      </w:r>
    </w:p>
    <w:p>
      <w:r>
        <w:rPr>
          <w:sz w:val="20"/>
        </w:rPr>
        <w:t xml:space="preserve">Step  |  Action  |  Completed</w:t>
      </w:r>
    </w:p>
    <w:p>
      <w:r>
        <w:rPr>
          <w:sz w:val="20"/>
        </w:rPr>
        <w:t xml:space="preserve">1  |  Search for data subject in all services listed above  |  [ ]</w:t>
      </w:r>
    </w:p>
    <w:p>
      <w:r>
        <w:rPr>
          <w:sz w:val="20"/>
        </w:rPr>
        <w:t xml:space="preserve">2  |  Confirm zero results across all systems  |  [ ]</w:t>
      </w:r>
    </w:p>
    <w:p>
      <w:r>
        <w:rPr>
          <w:sz w:val="20"/>
        </w:rPr>
        <w:t xml:space="preserve">3  |  Document retention exceptions with legal justification  |  [ ]</w:t>
      </w:r>
    </w:p>
    <w:p>
      <w:r>
        <w:rPr>
          <w:sz w:val="20"/>
        </w:rPr>
        <w:t xml:space="preserve">4  |  Update the DSAR register with completion date  |  [ ]</w:t>
      </w:r>
    </w:p>
    <w:p>
      <w:r>
        <w:rPr>
          <w:sz w:val="20"/>
        </w:rPr>
        <w:t xml:space="preserve">5  |  Send confirmation to the data subject  |  [ ]</w:t>
      </w:r>
    </w:p>
    <w:p>
      <w:r>
        <w:rPr>
          <w:sz w:val="20"/>
        </w:rPr>
        <w:t xml:space="preserve">6  |  Notify the DPO ([your-email@example.com])  |  [ ]</w:t>
      </w:r>
    </w:p>
    <w:p>
      <w:pPr>
        <w:pStyle w:val="Heading2"/>
      </w:pPr>
      <w:r>
        <w:t>7. Exceptions to Erasure (Art. 17(3))</w:t>
      </w:r>
    </w:p>
    <w:p>
      <w:r>
        <w:t xml:space="preserve">The right to erasure does not apply when processing is necessary for:</w:t>
      </w:r>
    </w:p>
    <w:p>
      <w:r>
        <w:rPr>
          <w:sz w:val="20"/>
        </w:rPr>
        <w:t xml:space="preserve">Exception  |  Example  |  Typical Retention</w:t>
      </w:r>
    </w:p>
    <w:p>
      <w:r>
        <w:rPr>
          <w:sz w:val="20"/>
        </w:rPr>
        <w:t xml:space="preserve">Freedom of expression and information  |  Published user reviews  |  Case-by-case</w:t>
      </w:r>
    </w:p>
    <w:p>
      <w:r>
        <w:rPr>
          <w:sz w:val="20"/>
        </w:rPr>
        <w:t xml:space="preserve">Legal obligation compliance  |  Tax records, financial regulations  |  7-10 years</w:t>
      </w:r>
    </w:p>
    <w:p>
      <w:r>
        <w:rPr>
          <w:sz w:val="20"/>
        </w:rPr>
        <w:t xml:space="preserve">Public health reasons (Art. 9(2)(h)(i))  |  Health data for public interest  |  Duration of need</w:t>
      </w:r>
    </w:p>
    <w:p>
      <w:r>
        <w:rPr>
          <w:sz w:val="20"/>
        </w:rPr>
        <w:t xml:space="preserve">Archiving in public interest  |  Research data, statistical purposes  |  Duration of study</w:t>
      </w:r>
    </w:p>
    <w:p>
      <w:r>
        <w:rPr>
          <w:sz w:val="20"/>
        </w:rPr>
        <w:t xml:space="preserve">Legal claims  |  Litigation hold, dispute evidence  |  Until resolution + limitation</w:t>
      </w:r>
    </w:p>
    <w:p>
      <w:r>
        <w:t xml:space="preserve">When an exception applies, document the specific legal basis and notify the data subject of the partial refusal with reasoning.</w:t>
      </w:r>
    </w:p>
    <w:p>
      <w:pPr>
        <w:pStyle w:val="Heading2"/>
      </w:pPr>
      <w:r>
        <w:t>8. Backup &amp; Replication Handling</w:t>
      </w:r>
    </w:p>
    <w:p>
      <w:r>
        <w:t xml:space="preserve">Personal data may exist in backups and replicas:</w:t>
      </w:r>
    </w:p>
    <w:p>
      <w:pPr>
        <w:pStyle w:val="ListParagraph"/>
        <w:numPr>
          <w:ilvl w:val="0"/>
          <w:numId w:val="1"/>
        </w:numPr>
      </w:pPr>
      <w:r>
        <w:t xml:space="preserve">**Database backups:** Data will be overwritten as backup rotation cycles complete (typically 7-30 days)</w:t>
      </w:r>
    </w:p>
    <w:p>
      <w:pPr>
        <w:pStyle w:val="ListParagraph"/>
        <w:numPr>
          <w:ilvl w:val="0"/>
          <w:numId w:val="1"/>
        </w:numPr>
      </w:pPr>
      <w:r>
        <w:t xml:space="preserve">**Log aggregation:** Ensure log retention policies align with deletion obligations</w:t>
      </w:r>
    </w:p>
    <w:p>
      <w:pPr>
        <w:pStyle w:val="ListParagraph"/>
        <w:numPr>
          <w:ilvl w:val="0"/>
          <w:numId w:val="1"/>
        </w:numPr>
      </w:pPr>
      <w:r>
        <w:t xml:space="preserve">**CDN caches:** Purge cached content containing personal data</w:t>
      </w:r>
    </w:p>
    <w:p>
      <w:pPr>
        <w:pStyle w:val="ListParagraph"/>
        <w:numPr>
          <w:ilvl w:val="0"/>
          <w:numId w:val="1"/>
        </w:numPr>
      </w:pPr>
      <w:r>
        <w:t xml:space="preserve">**Search indices:** Trigger re-indexing to remove deleted records</w:t>
      </w:r>
    </w:p>
    <w:p>
      <w:pPr>
        <w:pStyle w:val="ListParagraph"/>
        <w:numPr>
          <w:ilvl w:val="0"/>
          <w:numId w:val="1"/>
        </w:numPr>
      </w:pPr>
      <w:r>
        <w:t xml:space="preserve">**Data warehouses:** Run deletion jobs against analytical data stores</w:t>
      </w:r>
    </w:p>
    <w:p>
      <w:r>
        <w:t xml:space="preserve">Document the expected timeline for complete data purge from all backup systems in the DSAR response.</w:t>
      </w:r>
    </w:p>
    <w:p>
      <w:pPr>
        <w:pStyle w:val="Heading2"/>
      </w:pPr>
      <w:r>
        <w:t>9. Escalation</w:t>
      </w:r>
    </w:p>
    <w:p>
      <w:r>
        <w:rPr>
          <w:sz w:val="20"/>
        </w:rPr>
        <w:t xml:space="preserve">Scenario  |  Escalate To  |  Timeline</w:t>
      </w:r>
    </w:p>
    <w:p>
      <w:r>
        <w:rPr>
          <w:sz w:val="20"/>
        </w:rPr>
        <w:t xml:space="preserve">Unable to delete from a service  |  [Data Protection Officer Name] ([your-email@example.com])  |  Within 48 hours</w:t>
      </w:r>
    </w:p>
    <w:p>
      <w:r>
        <w:rPr>
          <w:sz w:val="20"/>
        </w:rPr>
        <w:t xml:space="preserve">Retention exception applies  |  [Data Protection Officer Name] ([your-email@example.com])  |  Before responding</w:t>
      </w:r>
    </w:p>
    <w:p>
      <w:r>
        <w:rPr>
          <w:sz w:val="20"/>
        </w:rPr>
        <w:t xml:space="preserve">Request involves special category data  |  DPO + Legal Counsel  |  Immediately</w:t>
      </w:r>
    </w:p>
    <w:p>
      <w:r>
        <w:rPr>
          <w:sz w:val="20"/>
        </w:rPr>
        <w:t xml:space="preserve">Third-party service unresponsive  |  DPO + Vendor Management  |  Within 72 hours</w:t>
      </w:r>
    </w:p>
    <w:p>
      <w:r>
        <w:rPr>
          <w:sz w:val="20"/>
        </w:rPr>
        <w:t xml:space="preserve">Deadline at risk (&gt;25 days elapsed)  |  [Data Protection Officer Name] ([your-email@example.com])  |  Immediately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code analysis. Adapt the deletion procedures to your actual database schema and service configurations.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